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86" w:rsidRPr="00D875CD" w:rsidRDefault="00363525" w:rsidP="005A1386">
      <w:pPr>
        <w:jc w:val="center"/>
        <w:rPr>
          <w:rFonts w:cs="Arial"/>
          <w:b/>
          <w:sz w:val="28"/>
          <w:szCs w:val="28"/>
        </w:rPr>
      </w:pPr>
      <w:r w:rsidRPr="00D875CD">
        <w:rPr>
          <w:rFonts w:cs="Arial"/>
          <w:b/>
          <w:sz w:val="28"/>
          <w:szCs w:val="28"/>
        </w:rPr>
        <w:t xml:space="preserve">EQUALITY </w:t>
      </w:r>
      <w:r w:rsidR="00302C0C" w:rsidRPr="00D875CD">
        <w:rPr>
          <w:rFonts w:cs="Arial"/>
          <w:b/>
          <w:sz w:val="28"/>
          <w:szCs w:val="28"/>
        </w:rPr>
        <w:t>IMPACT</w:t>
      </w:r>
      <w:r w:rsidRPr="00D875CD">
        <w:rPr>
          <w:rFonts w:cs="Arial"/>
          <w:b/>
          <w:sz w:val="28"/>
          <w:szCs w:val="28"/>
        </w:rPr>
        <w:t xml:space="preserve"> ASSESSMENT AND ANALYSIS (</w:t>
      </w:r>
      <w:proofErr w:type="spellStart"/>
      <w:r w:rsidRPr="00D875CD">
        <w:rPr>
          <w:rFonts w:cs="Arial"/>
          <w:b/>
          <w:sz w:val="28"/>
          <w:szCs w:val="28"/>
        </w:rPr>
        <w:t>EqIAA</w:t>
      </w:r>
      <w:proofErr w:type="spellEnd"/>
      <w:r w:rsidRPr="00D875CD">
        <w:rPr>
          <w:rFonts w:cs="Arial"/>
          <w:b/>
          <w:sz w:val="28"/>
          <w:szCs w:val="28"/>
        </w:rPr>
        <w:t>)</w:t>
      </w:r>
    </w:p>
    <w:p w:rsidR="00363525" w:rsidRPr="00D875CD" w:rsidRDefault="00363525" w:rsidP="005A1386">
      <w:pPr>
        <w:jc w:val="center"/>
        <w:rPr>
          <w:rFonts w:cs="Arial"/>
          <w:b/>
          <w:sz w:val="28"/>
          <w:szCs w:val="28"/>
        </w:rPr>
      </w:pPr>
    </w:p>
    <w:p w:rsidR="00BE722F" w:rsidRDefault="008A18A5" w:rsidP="005A1386">
      <w:pPr>
        <w:jc w:val="center"/>
        <w:rPr>
          <w:rFonts w:cs="Arial"/>
          <w:b/>
          <w:sz w:val="28"/>
          <w:szCs w:val="28"/>
        </w:rPr>
      </w:pPr>
      <w:bookmarkStart w:id="0" w:name="_GoBack"/>
      <w:r w:rsidRPr="00D875CD">
        <w:rPr>
          <w:rFonts w:cs="Arial"/>
          <w:b/>
          <w:sz w:val="28"/>
          <w:szCs w:val="28"/>
        </w:rPr>
        <w:t xml:space="preserve">STRATEGY </w:t>
      </w:r>
      <w:r>
        <w:rPr>
          <w:rFonts w:cs="Arial"/>
          <w:b/>
          <w:sz w:val="28"/>
          <w:szCs w:val="28"/>
        </w:rPr>
        <w:t xml:space="preserve">FOR CHILDREN AND YOUNG PEOPLE WITH </w:t>
      </w:r>
      <w:r w:rsidR="00363525" w:rsidRPr="00D875CD">
        <w:rPr>
          <w:rFonts w:cs="Arial"/>
          <w:b/>
          <w:sz w:val="28"/>
          <w:szCs w:val="28"/>
        </w:rPr>
        <w:t>S</w:t>
      </w:r>
      <w:r>
        <w:rPr>
          <w:rFonts w:cs="Arial"/>
          <w:b/>
          <w:sz w:val="28"/>
          <w:szCs w:val="28"/>
        </w:rPr>
        <w:t>PECIAL EDUCATIONAL NEEDS DISABILITIES IN SOUTH GLOUCESTERSHIRE</w:t>
      </w:r>
      <w:r w:rsidR="00363525" w:rsidRPr="00D875CD">
        <w:rPr>
          <w:rFonts w:cs="Arial"/>
          <w:b/>
          <w:sz w:val="28"/>
          <w:szCs w:val="28"/>
        </w:rPr>
        <w:t xml:space="preserve"> </w:t>
      </w:r>
    </w:p>
    <w:p w:rsidR="00363525" w:rsidRPr="00D875CD" w:rsidRDefault="00302C0C" w:rsidP="005A1386">
      <w:pPr>
        <w:jc w:val="center"/>
        <w:rPr>
          <w:rFonts w:cs="Arial"/>
          <w:b/>
          <w:sz w:val="28"/>
          <w:szCs w:val="28"/>
        </w:rPr>
      </w:pPr>
      <w:r w:rsidRPr="00D875CD">
        <w:rPr>
          <w:rFonts w:cs="Arial"/>
          <w:b/>
          <w:sz w:val="28"/>
          <w:szCs w:val="28"/>
        </w:rPr>
        <w:t>2018 - 2023</w:t>
      </w:r>
    </w:p>
    <w:bookmarkEnd w:id="0"/>
    <w:p w:rsidR="00BE722F" w:rsidRDefault="00BE722F" w:rsidP="00302C0C">
      <w:pPr>
        <w:jc w:val="right"/>
        <w:rPr>
          <w:rFonts w:cs="Arial"/>
          <w:b/>
          <w:szCs w:val="24"/>
        </w:rPr>
      </w:pPr>
    </w:p>
    <w:p w:rsidR="004A73DA" w:rsidRDefault="004A73DA" w:rsidP="005A1386">
      <w:pPr>
        <w:rPr>
          <w:rFonts w:cs="Arial"/>
          <w:b/>
          <w:sz w:val="28"/>
          <w:szCs w:val="28"/>
        </w:rPr>
      </w:pPr>
    </w:p>
    <w:p w:rsidR="005A1386" w:rsidRPr="00D875CD" w:rsidRDefault="005A1386" w:rsidP="005A1386">
      <w:pPr>
        <w:rPr>
          <w:rFonts w:cs="Arial"/>
          <w:b/>
          <w:sz w:val="28"/>
          <w:szCs w:val="28"/>
        </w:rPr>
      </w:pPr>
      <w:r w:rsidRPr="00D875CD">
        <w:rPr>
          <w:rFonts w:cs="Arial"/>
          <w:b/>
          <w:sz w:val="28"/>
          <w:szCs w:val="28"/>
        </w:rPr>
        <w:t>SECTION 1 – INTRODUCTION</w:t>
      </w:r>
    </w:p>
    <w:p w:rsidR="005A1386" w:rsidRPr="004A73DA" w:rsidRDefault="005A1386" w:rsidP="005A1386">
      <w:pPr>
        <w:pStyle w:val="NoSpacing"/>
        <w:rPr>
          <w:rFonts w:ascii="Arial" w:eastAsia="Times New Roman" w:hAnsi="Arial" w:cs="Arial"/>
          <w:lang w:eastAsia="en-GB"/>
        </w:rPr>
      </w:pPr>
    </w:p>
    <w:p w:rsidR="00150763" w:rsidRDefault="00E660FC" w:rsidP="00AD37BF">
      <w:pPr>
        <w:jc w:val="both"/>
        <w:rPr>
          <w:rFonts w:cs="Arial"/>
          <w:sz w:val="22"/>
          <w:szCs w:val="22"/>
        </w:rPr>
      </w:pPr>
      <w:r>
        <w:rPr>
          <w:rFonts w:cs="Arial"/>
          <w:sz w:val="22"/>
          <w:szCs w:val="22"/>
        </w:rPr>
        <w:t xml:space="preserve">For the purpose of this impact assessment, </w:t>
      </w:r>
      <w:proofErr w:type="gramStart"/>
      <w:r>
        <w:rPr>
          <w:rFonts w:cs="Arial"/>
          <w:sz w:val="22"/>
          <w:szCs w:val="22"/>
        </w:rPr>
        <w:t>children refers</w:t>
      </w:r>
      <w:proofErr w:type="gramEnd"/>
      <w:r>
        <w:rPr>
          <w:rFonts w:cs="Arial"/>
          <w:sz w:val="22"/>
          <w:szCs w:val="22"/>
        </w:rPr>
        <w:t xml:space="preserve"> to children, young people and young adults. </w:t>
      </w:r>
    </w:p>
    <w:p w:rsidR="004740EA" w:rsidRPr="004A73DA" w:rsidRDefault="004740EA" w:rsidP="00AD37BF">
      <w:pPr>
        <w:jc w:val="both"/>
        <w:rPr>
          <w:rFonts w:cs="Arial"/>
          <w:sz w:val="22"/>
          <w:szCs w:val="22"/>
        </w:rPr>
      </w:pPr>
      <w:r w:rsidRPr="004A73DA">
        <w:rPr>
          <w:rFonts w:cs="Arial"/>
          <w:sz w:val="22"/>
          <w:szCs w:val="22"/>
        </w:rPr>
        <w:t>The SEND Strategy sets out the vision, priorities and activities that will be implemented from 2018 – 2023 for children with special educational needs and disabilities</w:t>
      </w:r>
      <w:r w:rsidR="00AD37BF" w:rsidRPr="004A73DA">
        <w:rPr>
          <w:rFonts w:cs="Arial"/>
          <w:sz w:val="22"/>
          <w:szCs w:val="22"/>
        </w:rPr>
        <w:t xml:space="preserve"> from 0-25 years old</w:t>
      </w:r>
      <w:r w:rsidRPr="004A73DA">
        <w:rPr>
          <w:rFonts w:cs="Arial"/>
          <w:sz w:val="22"/>
          <w:szCs w:val="22"/>
        </w:rPr>
        <w:t xml:space="preserve">.  The Government have suggested that all local areas should have a strategy in place so that all stakeholders </w:t>
      </w:r>
      <w:r w:rsidR="00AD37BF" w:rsidRPr="004A73DA">
        <w:rPr>
          <w:rFonts w:cs="Arial"/>
          <w:sz w:val="22"/>
          <w:szCs w:val="22"/>
        </w:rPr>
        <w:t>have a clear</w:t>
      </w:r>
      <w:r w:rsidRPr="004A73DA">
        <w:rPr>
          <w:rFonts w:cs="Arial"/>
          <w:sz w:val="22"/>
          <w:szCs w:val="22"/>
        </w:rPr>
        <w:t xml:space="preserve"> understand</w:t>
      </w:r>
      <w:r w:rsidR="00AD37BF" w:rsidRPr="004A73DA">
        <w:rPr>
          <w:rFonts w:cs="Arial"/>
          <w:sz w:val="22"/>
          <w:szCs w:val="22"/>
        </w:rPr>
        <w:t>ing of</w:t>
      </w:r>
      <w:r w:rsidRPr="004A73DA">
        <w:rPr>
          <w:rFonts w:cs="Arial"/>
          <w:sz w:val="22"/>
          <w:szCs w:val="22"/>
        </w:rPr>
        <w:t xml:space="preserve"> the level of need, demand for services and activities to be implemented over the five year period. </w:t>
      </w:r>
    </w:p>
    <w:p w:rsidR="00302C0C" w:rsidRPr="004A73DA" w:rsidRDefault="00302C0C" w:rsidP="00AD37BF">
      <w:pPr>
        <w:jc w:val="both"/>
        <w:rPr>
          <w:rFonts w:cs="Arial"/>
          <w:sz w:val="22"/>
          <w:szCs w:val="22"/>
        </w:rPr>
      </w:pPr>
    </w:p>
    <w:p w:rsidR="00AD37BF" w:rsidRPr="004A73DA" w:rsidRDefault="00AD37BF" w:rsidP="00AD37BF">
      <w:pPr>
        <w:jc w:val="both"/>
        <w:rPr>
          <w:rFonts w:cs="Arial"/>
          <w:sz w:val="22"/>
          <w:szCs w:val="22"/>
        </w:rPr>
      </w:pPr>
      <w:r w:rsidRPr="004A73DA">
        <w:rPr>
          <w:rFonts w:cs="Arial"/>
          <w:sz w:val="22"/>
          <w:szCs w:val="22"/>
        </w:rPr>
        <w:t>The Strategy outlines all activities across education, social care, health and leisure that will be developed to support pupils with S</w:t>
      </w:r>
      <w:r w:rsidR="00150763">
        <w:rPr>
          <w:rFonts w:cs="Arial"/>
          <w:sz w:val="22"/>
          <w:szCs w:val="22"/>
        </w:rPr>
        <w:t xml:space="preserve">pecial Educational Needs and </w:t>
      </w:r>
      <w:r w:rsidRPr="004A73DA">
        <w:rPr>
          <w:rFonts w:cs="Arial"/>
          <w:sz w:val="22"/>
          <w:szCs w:val="22"/>
        </w:rPr>
        <w:t xml:space="preserve">disability. </w:t>
      </w:r>
    </w:p>
    <w:p w:rsidR="00BC3252" w:rsidRPr="004A73DA" w:rsidRDefault="00BC3252" w:rsidP="005A1386">
      <w:pPr>
        <w:rPr>
          <w:rFonts w:eastAsia="Times New Roman" w:cs="Arial"/>
          <w:b/>
          <w:sz w:val="22"/>
          <w:szCs w:val="22"/>
          <w:lang w:eastAsia="en-GB"/>
        </w:rPr>
      </w:pPr>
    </w:p>
    <w:p w:rsidR="004A73DA" w:rsidRDefault="004A73DA" w:rsidP="005A1386">
      <w:pPr>
        <w:rPr>
          <w:rFonts w:eastAsia="Times New Roman" w:cs="Arial"/>
          <w:b/>
          <w:sz w:val="28"/>
          <w:szCs w:val="28"/>
          <w:lang w:eastAsia="en-GB"/>
        </w:rPr>
      </w:pPr>
    </w:p>
    <w:p w:rsidR="005A1386" w:rsidRPr="00D875CD" w:rsidRDefault="005A1386" w:rsidP="005A1386">
      <w:pPr>
        <w:rPr>
          <w:rFonts w:eastAsia="Times New Roman" w:cs="Arial"/>
          <w:b/>
          <w:sz w:val="28"/>
          <w:szCs w:val="28"/>
          <w:lang w:eastAsia="en-GB"/>
        </w:rPr>
      </w:pPr>
      <w:r w:rsidRPr="00D875CD">
        <w:rPr>
          <w:rFonts w:eastAsia="Times New Roman" w:cs="Arial"/>
          <w:b/>
          <w:sz w:val="28"/>
          <w:szCs w:val="28"/>
          <w:lang w:eastAsia="en-GB"/>
        </w:rPr>
        <w:t>SECTION 2 –RESEARCH AND CONSULTATION</w:t>
      </w:r>
    </w:p>
    <w:p w:rsidR="00AD37BF" w:rsidRPr="004A73DA" w:rsidRDefault="00AD37BF" w:rsidP="005A1386">
      <w:pPr>
        <w:rPr>
          <w:rFonts w:eastAsia="Times New Roman" w:cs="Arial"/>
          <w:b/>
          <w:sz w:val="22"/>
          <w:szCs w:val="22"/>
          <w:lang w:eastAsia="en-GB"/>
        </w:rPr>
      </w:pPr>
    </w:p>
    <w:p w:rsidR="002C334F" w:rsidRDefault="002C334F" w:rsidP="005A1386">
      <w:pPr>
        <w:pStyle w:val="NoSpacing"/>
        <w:rPr>
          <w:rFonts w:ascii="Arial" w:eastAsia="Times New Roman" w:hAnsi="Arial" w:cs="Arial"/>
          <w:lang w:eastAsia="en-GB"/>
        </w:rPr>
      </w:pPr>
    </w:p>
    <w:p w:rsidR="002C334F" w:rsidRPr="002C334F" w:rsidRDefault="002C334F" w:rsidP="005A1386">
      <w:pPr>
        <w:pStyle w:val="NoSpacing"/>
        <w:rPr>
          <w:rFonts w:ascii="Arial" w:eastAsia="Times New Roman" w:hAnsi="Arial" w:cs="Arial"/>
          <w:b/>
          <w:sz w:val="24"/>
          <w:szCs w:val="24"/>
          <w:lang w:eastAsia="en-GB"/>
        </w:rPr>
      </w:pPr>
      <w:r w:rsidRPr="002C334F">
        <w:rPr>
          <w:rFonts w:ascii="Arial" w:eastAsia="Times New Roman" w:hAnsi="Arial" w:cs="Arial"/>
          <w:b/>
          <w:sz w:val="24"/>
          <w:szCs w:val="24"/>
          <w:lang w:eastAsia="en-GB"/>
        </w:rPr>
        <w:t>Research</w:t>
      </w:r>
    </w:p>
    <w:p w:rsidR="002C334F" w:rsidRDefault="002C334F" w:rsidP="005A1386">
      <w:pPr>
        <w:pStyle w:val="NoSpacing"/>
        <w:rPr>
          <w:rFonts w:ascii="Arial" w:eastAsia="Times New Roman" w:hAnsi="Arial" w:cs="Arial"/>
          <w:lang w:eastAsia="en-GB"/>
        </w:rPr>
      </w:pPr>
    </w:p>
    <w:p w:rsidR="00D875CD" w:rsidRPr="004A73DA" w:rsidRDefault="00AD37BF" w:rsidP="005A1386">
      <w:pPr>
        <w:pStyle w:val="NoSpacing"/>
        <w:rPr>
          <w:rFonts w:ascii="Arial" w:eastAsia="Times New Roman" w:hAnsi="Arial" w:cs="Arial"/>
          <w:lang w:eastAsia="en-GB"/>
        </w:rPr>
      </w:pPr>
      <w:r w:rsidRPr="004A73DA">
        <w:rPr>
          <w:rFonts w:ascii="Arial" w:eastAsia="Times New Roman" w:hAnsi="Arial" w:cs="Arial"/>
          <w:lang w:eastAsia="en-GB"/>
        </w:rPr>
        <w:t xml:space="preserve">At any one time there </w:t>
      </w:r>
      <w:r w:rsidR="00302C0C" w:rsidRPr="004A73DA">
        <w:rPr>
          <w:rFonts w:ascii="Arial" w:eastAsia="Times New Roman" w:hAnsi="Arial" w:cs="Arial"/>
          <w:lang w:eastAsia="en-GB"/>
        </w:rPr>
        <w:t xml:space="preserve">are </w:t>
      </w:r>
      <w:r w:rsidRPr="004A73DA">
        <w:rPr>
          <w:rFonts w:ascii="Arial" w:eastAsia="Times New Roman" w:hAnsi="Arial" w:cs="Arial"/>
          <w:lang w:eastAsia="en-GB"/>
        </w:rPr>
        <w:t>approximately</w:t>
      </w:r>
      <w:r w:rsidR="00FD6EAE" w:rsidRPr="004A73DA">
        <w:rPr>
          <w:rFonts w:ascii="Arial" w:eastAsia="Times New Roman" w:hAnsi="Arial" w:cs="Arial"/>
          <w:lang w:eastAsia="en-GB"/>
        </w:rPr>
        <w:t xml:space="preserve"> 6,600 </w:t>
      </w:r>
      <w:r w:rsidR="00302C0C" w:rsidRPr="004A73DA">
        <w:rPr>
          <w:rFonts w:ascii="Arial" w:eastAsia="Times New Roman" w:hAnsi="Arial" w:cs="Arial"/>
          <w:lang w:eastAsia="en-GB"/>
        </w:rPr>
        <w:t xml:space="preserve">children </w:t>
      </w:r>
      <w:r w:rsidR="00150763">
        <w:rPr>
          <w:rFonts w:ascii="Arial" w:eastAsia="Times New Roman" w:hAnsi="Arial" w:cs="Arial"/>
          <w:lang w:eastAsia="en-GB"/>
        </w:rPr>
        <w:t>aged between</w:t>
      </w:r>
      <w:r w:rsidR="00302C0C" w:rsidRPr="004A73DA">
        <w:rPr>
          <w:rFonts w:ascii="Arial" w:eastAsia="Times New Roman" w:hAnsi="Arial" w:cs="Arial"/>
          <w:lang w:eastAsia="en-GB"/>
        </w:rPr>
        <w:t xml:space="preserve"> 0-25</w:t>
      </w:r>
      <w:r w:rsidR="00150763">
        <w:rPr>
          <w:rFonts w:ascii="Arial" w:eastAsia="Times New Roman" w:hAnsi="Arial" w:cs="Arial"/>
          <w:lang w:eastAsia="en-GB"/>
        </w:rPr>
        <w:t xml:space="preserve"> years</w:t>
      </w:r>
      <w:r w:rsidR="00302C0C" w:rsidRPr="004A73DA">
        <w:rPr>
          <w:rFonts w:ascii="Arial" w:eastAsia="Times New Roman" w:hAnsi="Arial" w:cs="Arial"/>
          <w:lang w:eastAsia="en-GB"/>
        </w:rPr>
        <w:t xml:space="preserve"> </w:t>
      </w:r>
      <w:r w:rsidR="00FD6EAE" w:rsidRPr="004A73DA">
        <w:rPr>
          <w:rFonts w:ascii="Arial" w:eastAsia="Times New Roman" w:hAnsi="Arial" w:cs="Arial"/>
          <w:lang w:eastAsia="en-GB"/>
        </w:rPr>
        <w:t xml:space="preserve">with SEND. </w:t>
      </w:r>
      <w:r w:rsidRPr="004A73DA">
        <w:rPr>
          <w:rFonts w:ascii="Arial" w:eastAsia="Times New Roman" w:hAnsi="Arial" w:cs="Arial"/>
          <w:lang w:eastAsia="en-GB"/>
        </w:rPr>
        <w:t xml:space="preserve"> 1</w:t>
      </w:r>
      <w:r w:rsidR="00302C0C" w:rsidRPr="004A73DA">
        <w:rPr>
          <w:rFonts w:ascii="Arial" w:eastAsia="Times New Roman" w:hAnsi="Arial" w:cs="Arial"/>
          <w:lang w:eastAsia="en-GB"/>
        </w:rPr>
        <w:t>,</w:t>
      </w:r>
      <w:r w:rsidRPr="004A73DA">
        <w:rPr>
          <w:rFonts w:ascii="Arial" w:eastAsia="Times New Roman" w:hAnsi="Arial" w:cs="Arial"/>
          <w:lang w:eastAsia="en-GB"/>
        </w:rPr>
        <w:t xml:space="preserve">700 children </w:t>
      </w:r>
      <w:r w:rsidR="00FD6EAE" w:rsidRPr="004A73DA">
        <w:rPr>
          <w:rFonts w:ascii="Arial" w:eastAsia="Times New Roman" w:hAnsi="Arial" w:cs="Arial"/>
          <w:lang w:eastAsia="en-GB"/>
        </w:rPr>
        <w:t xml:space="preserve">have more complex needs and have </w:t>
      </w:r>
      <w:r w:rsidRPr="004A73DA">
        <w:rPr>
          <w:rFonts w:ascii="Arial" w:eastAsia="Times New Roman" w:hAnsi="Arial" w:cs="Arial"/>
          <w:lang w:eastAsia="en-GB"/>
        </w:rPr>
        <w:t>an Education Health Care (</w:t>
      </w:r>
      <w:proofErr w:type="spellStart"/>
      <w:r w:rsidRPr="004A73DA">
        <w:rPr>
          <w:rFonts w:ascii="Arial" w:eastAsia="Times New Roman" w:hAnsi="Arial" w:cs="Arial"/>
          <w:lang w:eastAsia="en-GB"/>
        </w:rPr>
        <w:t>EHC</w:t>
      </w:r>
      <w:proofErr w:type="spellEnd"/>
      <w:r w:rsidRPr="004A73DA">
        <w:rPr>
          <w:rFonts w:ascii="Arial" w:eastAsia="Times New Roman" w:hAnsi="Arial" w:cs="Arial"/>
          <w:lang w:eastAsia="en-GB"/>
        </w:rPr>
        <w:t>) plan</w:t>
      </w:r>
      <w:r w:rsidR="00FD6EAE" w:rsidRPr="004A73DA">
        <w:rPr>
          <w:rFonts w:ascii="Arial" w:eastAsia="Times New Roman" w:hAnsi="Arial" w:cs="Arial"/>
          <w:lang w:eastAsia="en-GB"/>
        </w:rPr>
        <w:t>.  4,750 children identified with SEND have a</w:t>
      </w:r>
      <w:r w:rsidR="00EA0A3A">
        <w:rPr>
          <w:rFonts w:ascii="Arial" w:eastAsia="Times New Roman" w:hAnsi="Arial" w:cs="Arial"/>
          <w:lang w:eastAsia="en-GB"/>
        </w:rPr>
        <w:t>n</w:t>
      </w:r>
      <w:r w:rsidR="00FD6EAE" w:rsidRPr="004A73DA">
        <w:rPr>
          <w:rFonts w:ascii="Arial" w:eastAsia="Times New Roman" w:hAnsi="Arial" w:cs="Arial"/>
          <w:lang w:eastAsia="en-GB"/>
        </w:rPr>
        <w:t xml:space="preserve"> SEN Support plan</w:t>
      </w:r>
      <w:r w:rsidR="00D875CD" w:rsidRPr="004A73DA">
        <w:rPr>
          <w:rFonts w:ascii="Arial" w:eastAsia="Times New Roman" w:hAnsi="Arial" w:cs="Arial"/>
          <w:lang w:eastAsia="en-GB"/>
        </w:rPr>
        <w:t>.</w:t>
      </w:r>
      <w:r w:rsidR="00FD6EAE" w:rsidRPr="004A73DA">
        <w:rPr>
          <w:rFonts w:ascii="Arial" w:eastAsia="Times New Roman" w:hAnsi="Arial" w:cs="Arial"/>
          <w:lang w:eastAsia="en-GB"/>
        </w:rPr>
        <w:t xml:space="preserve"> </w:t>
      </w:r>
    </w:p>
    <w:p w:rsidR="0068157B" w:rsidRPr="004A73DA" w:rsidRDefault="0068157B" w:rsidP="005A1386">
      <w:pPr>
        <w:pStyle w:val="NoSpacing"/>
        <w:rPr>
          <w:rFonts w:ascii="Arial" w:eastAsia="Times New Roman" w:hAnsi="Arial" w:cs="Arial"/>
          <w:lang w:eastAsia="en-GB"/>
        </w:rPr>
      </w:pPr>
    </w:p>
    <w:p w:rsidR="004A73DA" w:rsidRDefault="004A73DA" w:rsidP="005A1386">
      <w:pPr>
        <w:pStyle w:val="NoSpacing"/>
        <w:rPr>
          <w:rFonts w:ascii="Arial" w:eastAsia="Times New Roman" w:hAnsi="Arial" w:cs="Arial"/>
          <w:b/>
          <w:lang w:eastAsia="en-GB"/>
        </w:rPr>
      </w:pPr>
    </w:p>
    <w:p w:rsidR="0068157B" w:rsidRPr="004A73DA" w:rsidRDefault="0068157B" w:rsidP="005A1386">
      <w:pPr>
        <w:pStyle w:val="NoSpacing"/>
        <w:rPr>
          <w:rFonts w:ascii="Arial" w:eastAsia="Times New Roman" w:hAnsi="Arial" w:cs="Arial"/>
          <w:b/>
          <w:lang w:eastAsia="en-GB"/>
        </w:rPr>
      </w:pPr>
      <w:r w:rsidRPr="004A73DA">
        <w:rPr>
          <w:rFonts w:ascii="Arial" w:eastAsia="Times New Roman" w:hAnsi="Arial" w:cs="Arial"/>
          <w:b/>
          <w:lang w:eastAsia="en-GB"/>
        </w:rPr>
        <w:t>SEN Categories of Need</w:t>
      </w:r>
    </w:p>
    <w:p w:rsidR="00FD6EAE" w:rsidRPr="004A73DA" w:rsidRDefault="00FD6EAE" w:rsidP="005A1386">
      <w:pPr>
        <w:pStyle w:val="NoSpacing"/>
        <w:rPr>
          <w:rFonts w:ascii="Arial" w:eastAsia="Times New Roman" w:hAnsi="Arial" w:cs="Arial"/>
          <w:lang w:eastAsia="en-GB"/>
        </w:rPr>
      </w:pPr>
    </w:p>
    <w:p w:rsidR="00FD6EAE" w:rsidRPr="004A73DA" w:rsidRDefault="00FD6EAE" w:rsidP="005A1386">
      <w:pPr>
        <w:pStyle w:val="NoSpacing"/>
        <w:rPr>
          <w:rFonts w:ascii="Arial" w:eastAsia="Times New Roman" w:hAnsi="Arial" w:cs="Arial"/>
          <w:lang w:eastAsia="en-GB"/>
        </w:rPr>
      </w:pPr>
      <w:r w:rsidRPr="004A73DA">
        <w:rPr>
          <w:rFonts w:ascii="Arial" w:eastAsia="Times New Roman" w:hAnsi="Arial" w:cs="Arial"/>
          <w:lang w:eastAsia="en-GB"/>
        </w:rPr>
        <w:t xml:space="preserve">The Government identify 12 categories of SEND. The local authority have completed analysis in May 2017 to provide a breakdown of SEN categories of </w:t>
      </w:r>
      <w:r w:rsidR="0068157B" w:rsidRPr="004A73DA">
        <w:rPr>
          <w:rFonts w:ascii="Arial" w:eastAsia="Times New Roman" w:hAnsi="Arial" w:cs="Arial"/>
          <w:lang w:eastAsia="en-GB"/>
        </w:rPr>
        <w:t xml:space="preserve">need for the </w:t>
      </w:r>
      <w:r w:rsidRPr="004A73DA">
        <w:rPr>
          <w:rFonts w:ascii="Arial" w:eastAsia="Times New Roman" w:hAnsi="Arial" w:cs="Arial"/>
          <w:lang w:eastAsia="en-GB"/>
        </w:rPr>
        <w:t xml:space="preserve">children and young people with an </w:t>
      </w:r>
      <w:proofErr w:type="spellStart"/>
      <w:r w:rsidRPr="004A73DA">
        <w:rPr>
          <w:rFonts w:ascii="Arial" w:eastAsia="Times New Roman" w:hAnsi="Arial" w:cs="Arial"/>
          <w:lang w:eastAsia="en-GB"/>
        </w:rPr>
        <w:t>EHC</w:t>
      </w:r>
      <w:proofErr w:type="spellEnd"/>
      <w:r w:rsidRPr="004A73DA">
        <w:rPr>
          <w:rFonts w:ascii="Arial" w:eastAsia="Times New Roman" w:hAnsi="Arial" w:cs="Arial"/>
          <w:lang w:eastAsia="en-GB"/>
        </w:rPr>
        <w:t xml:space="preserve"> plan or statement of SEN</w:t>
      </w:r>
      <w:r w:rsidR="0068157B" w:rsidRPr="004A73DA">
        <w:rPr>
          <w:rFonts w:ascii="Arial" w:eastAsia="Times New Roman" w:hAnsi="Arial" w:cs="Arial"/>
          <w:lang w:eastAsia="en-GB"/>
        </w:rPr>
        <w:t xml:space="preserve"> and therefore </w:t>
      </w:r>
      <w:r w:rsidR="00BC3252" w:rsidRPr="004A73DA">
        <w:rPr>
          <w:rFonts w:ascii="Arial" w:eastAsia="Times New Roman" w:hAnsi="Arial" w:cs="Arial"/>
          <w:lang w:eastAsia="en-GB"/>
        </w:rPr>
        <w:t xml:space="preserve">with </w:t>
      </w:r>
      <w:r w:rsidR="0068157B" w:rsidRPr="004A73DA">
        <w:rPr>
          <w:rFonts w:ascii="Arial" w:eastAsia="Times New Roman" w:hAnsi="Arial" w:cs="Arial"/>
          <w:lang w:eastAsia="en-GB"/>
        </w:rPr>
        <w:t>most complex need</w:t>
      </w:r>
      <w:r w:rsidR="00BC3252" w:rsidRPr="004A73DA">
        <w:rPr>
          <w:rFonts w:ascii="Arial" w:eastAsia="Times New Roman" w:hAnsi="Arial" w:cs="Arial"/>
          <w:lang w:eastAsia="en-GB"/>
        </w:rPr>
        <w:t>s</w:t>
      </w:r>
      <w:r w:rsidRPr="004A73DA">
        <w:rPr>
          <w:rFonts w:ascii="Arial" w:eastAsia="Times New Roman" w:hAnsi="Arial" w:cs="Arial"/>
          <w:lang w:eastAsia="en-GB"/>
        </w:rPr>
        <w:t>.</w:t>
      </w:r>
    </w:p>
    <w:p w:rsidR="00FD6EAE" w:rsidRPr="004A73DA" w:rsidRDefault="00FD6EAE" w:rsidP="005A1386">
      <w:pPr>
        <w:pStyle w:val="NoSpacing"/>
        <w:rPr>
          <w:rFonts w:ascii="Arial" w:eastAsia="Times New Roman" w:hAnsi="Arial" w:cs="Arial"/>
          <w:lang w:eastAsia="en-GB"/>
        </w:rPr>
      </w:pPr>
    </w:p>
    <w:tbl>
      <w:tblPr>
        <w:tblStyle w:val="PlainTable11"/>
        <w:tblW w:w="8222" w:type="dxa"/>
        <w:tblLook w:val="04A0" w:firstRow="1" w:lastRow="0" w:firstColumn="1" w:lastColumn="0" w:noHBand="0" w:noVBand="1"/>
      </w:tblPr>
      <w:tblGrid>
        <w:gridCol w:w="1373"/>
        <w:gridCol w:w="4111"/>
        <w:gridCol w:w="2738"/>
      </w:tblGrid>
      <w:tr w:rsidR="00FD6EAE" w:rsidRPr="004A73DA" w:rsidTr="0068157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rPr>
                <w:rFonts w:cs="Arial"/>
                <w:b w:val="0"/>
                <w:color w:val="000000"/>
                <w:sz w:val="22"/>
                <w:szCs w:val="22"/>
                <w:lang w:eastAsia="en-GB"/>
              </w:rPr>
            </w:pPr>
            <w:r w:rsidRPr="004A73DA">
              <w:rPr>
                <w:rFonts w:cs="Arial"/>
                <w:color w:val="000000"/>
                <w:sz w:val="22"/>
                <w:szCs w:val="22"/>
                <w:lang w:eastAsia="en-GB"/>
              </w:rPr>
              <w:t>Primary Need</w:t>
            </w:r>
          </w:p>
        </w:tc>
        <w:tc>
          <w:tcPr>
            <w:tcW w:w="4111" w:type="dxa"/>
            <w:hideMark/>
          </w:tcPr>
          <w:p w:rsidR="00FD6EAE" w:rsidRPr="004A73DA" w:rsidRDefault="00FD6EAE" w:rsidP="003337C2">
            <w:pPr>
              <w:cnfStyle w:val="100000000000" w:firstRow="1" w:lastRow="0" w:firstColumn="0" w:lastColumn="0" w:oddVBand="0" w:evenVBand="0" w:oddHBand="0" w:evenHBand="0" w:firstRowFirstColumn="0" w:firstRowLastColumn="0" w:lastRowFirstColumn="0" w:lastRowLastColumn="0"/>
              <w:rPr>
                <w:rFonts w:cs="Arial"/>
                <w:b w:val="0"/>
                <w:color w:val="000000"/>
                <w:sz w:val="22"/>
                <w:szCs w:val="22"/>
                <w:lang w:eastAsia="en-GB"/>
              </w:rPr>
            </w:pPr>
            <w:r w:rsidRPr="004A73DA">
              <w:rPr>
                <w:rFonts w:cs="Arial"/>
                <w:color w:val="000000"/>
                <w:sz w:val="22"/>
                <w:szCs w:val="22"/>
                <w:lang w:eastAsia="en-GB"/>
              </w:rPr>
              <w:t>Description</w:t>
            </w:r>
          </w:p>
        </w:tc>
        <w:tc>
          <w:tcPr>
            <w:tcW w:w="2738" w:type="dxa"/>
            <w:noWrap/>
            <w:hideMark/>
          </w:tcPr>
          <w:p w:rsidR="00FD6EAE" w:rsidRPr="004A73DA" w:rsidRDefault="00FD6EAE" w:rsidP="004A73DA">
            <w:pPr>
              <w:jc w:val="center"/>
              <w:cnfStyle w:val="100000000000" w:firstRow="1" w:lastRow="0" w:firstColumn="0" w:lastColumn="0" w:oddVBand="0" w:evenVBand="0" w:oddHBand="0" w:evenHBand="0" w:firstRowFirstColumn="0" w:firstRowLastColumn="0" w:lastRowFirstColumn="0" w:lastRowLastColumn="0"/>
              <w:rPr>
                <w:rFonts w:cs="Arial"/>
                <w:b w:val="0"/>
                <w:color w:val="000000"/>
                <w:sz w:val="22"/>
                <w:szCs w:val="22"/>
                <w:lang w:eastAsia="en-GB"/>
              </w:rPr>
            </w:pPr>
            <w:r w:rsidRPr="004A73DA">
              <w:rPr>
                <w:rFonts w:cs="Arial"/>
                <w:color w:val="000000"/>
                <w:sz w:val="22"/>
                <w:szCs w:val="22"/>
                <w:lang w:eastAsia="en-GB"/>
              </w:rPr>
              <w:t xml:space="preserve">% total Primary need for pupils with </w:t>
            </w:r>
            <w:proofErr w:type="spellStart"/>
            <w:r w:rsidRPr="004A73DA">
              <w:rPr>
                <w:rFonts w:cs="Arial"/>
                <w:color w:val="000000"/>
                <w:sz w:val="22"/>
                <w:szCs w:val="22"/>
                <w:lang w:eastAsia="en-GB"/>
              </w:rPr>
              <w:t>EHC</w:t>
            </w:r>
            <w:proofErr w:type="spellEnd"/>
            <w:r w:rsidRPr="004A73DA">
              <w:rPr>
                <w:rFonts w:cs="Arial"/>
                <w:color w:val="000000"/>
                <w:sz w:val="22"/>
                <w:szCs w:val="22"/>
                <w:lang w:eastAsia="en-GB"/>
              </w:rPr>
              <w:t xml:space="preserve"> plans</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ASD</w:t>
            </w:r>
            <w:proofErr w:type="spellEnd"/>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Autistic spectrum disorder</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26.6%</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SLCN</w:t>
            </w:r>
            <w:proofErr w:type="spellEnd"/>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Speech, language &amp; communication needs</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18.2%</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MLD</w:t>
            </w:r>
            <w:proofErr w:type="spellEnd"/>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Moderate learning difficulty</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15.3%</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SEMH</w:t>
            </w:r>
            <w:proofErr w:type="spellEnd"/>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Social, emotional, mental health</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14.8%</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SLD</w:t>
            </w:r>
            <w:proofErr w:type="spellEnd"/>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Severe learning difficulty</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8.4%</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r w:rsidRPr="004A73DA">
              <w:rPr>
                <w:rFonts w:cs="Arial"/>
                <w:b w:val="0"/>
                <w:color w:val="000000"/>
                <w:sz w:val="22"/>
                <w:szCs w:val="22"/>
                <w:lang w:eastAsia="en-GB"/>
              </w:rPr>
              <w:t>PD</w:t>
            </w:r>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Physical disability</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8.2%</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r w:rsidRPr="004A73DA">
              <w:rPr>
                <w:rFonts w:cs="Arial"/>
                <w:b w:val="0"/>
                <w:color w:val="000000"/>
                <w:sz w:val="22"/>
                <w:szCs w:val="22"/>
                <w:lang w:eastAsia="en-GB"/>
              </w:rPr>
              <w:t>HI</w:t>
            </w:r>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Hearing impairment</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3.1%</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PMLD</w:t>
            </w:r>
            <w:proofErr w:type="spellEnd"/>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Profound and multiple learning difficulty</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1.7%</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r w:rsidRPr="004A73DA">
              <w:rPr>
                <w:rFonts w:cs="Arial"/>
                <w:b w:val="0"/>
                <w:color w:val="000000"/>
                <w:sz w:val="22"/>
                <w:szCs w:val="22"/>
                <w:lang w:eastAsia="en-GB"/>
              </w:rPr>
              <w:t>VI</w:t>
            </w:r>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 xml:space="preserve">Visual impairment </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1.5%</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SPLD</w:t>
            </w:r>
            <w:proofErr w:type="spellEnd"/>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Specific learning difficulty</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1.3%</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OTH</w:t>
            </w:r>
            <w:proofErr w:type="spellEnd"/>
          </w:p>
        </w:tc>
        <w:tc>
          <w:tcPr>
            <w:tcW w:w="4111" w:type="dxa"/>
            <w:hideMark/>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Other difficulty/disability</w:t>
            </w:r>
          </w:p>
        </w:tc>
        <w:tc>
          <w:tcPr>
            <w:tcW w:w="2738" w:type="dxa"/>
            <w:noWrap/>
            <w:hideMark/>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0.8%</w:t>
            </w:r>
          </w:p>
        </w:tc>
      </w:tr>
      <w:tr w:rsidR="00FD6EAE" w:rsidRPr="004A73DA" w:rsidTr="0068157B">
        <w:trPr>
          <w:trHeight w:val="255"/>
        </w:trPr>
        <w:tc>
          <w:tcPr>
            <w:cnfStyle w:val="001000000000" w:firstRow="0" w:lastRow="0" w:firstColumn="1" w:lastColumn="0" w:oddVBand="0" w:evenVBand="0" w:oddHBand="0" w:evenHBand="0" w:firstRowFirstColumn="0" w:firstRowLastColumn="0" w:lastRowFirstColumn="0" w:lastRowLastColumn="0"/>
            <w:tcW w:w="1373" w:type="dxa"/>
            <w:noWrap/>
            <w:hideMark/>
          </w:tcPr>
          <w:p w:rsidR="00FD6EAE" w:rsidRPr="004A73DA" w:rsidRDefault="00FD6EAE" w:rsidP="003337C2">
            <w:pPr>
              <w:jc w:val="center"/>
              <w:rPr>
                <w:rFonts w:cs="Arial"/>
                <w:b w:val="0"/>
                <w:color w:val="000000"/>
                <w:sz w:val="22"/>
                <w:szCs w:val="22"/>
                <w:lang w:eastAsia="en-GB"/>
              </w:rPr>
            </w:pPr>
            <w:proofErr w:type="spellStart"/>
            <w:r w:rsidRPr="004A73DA">
              <w:rPr>
                <w:rFonts w:cs="Arial"/>
                <w:b w:val="0"/>
                <w:color w:val="000000"/>
                <w:sz w:val="22"/>
                <w:szCs w:val="22"/>
                <w:lang w:eastAsia="en-GB"/>
              </w:rPr>
              <w:t>MSI</w:t>
            </w:r>
            <w:proofErr w:type="spellEnd"/>
          </w:p>
        </w:tc>
        <w:tc>
          <w:tcPr>
            <w:tcW w:w="4111" w:type="dxa"/>
            <w:hideMark/>
          </w:tcPr>
          <w:p w:rsidR="00FD6EAE" w:rsidRPr="004A73DA" w:rsidRDefault="00FD6EAE" w:rsidP="003337C2">
            <w:pP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 xml:space="preserve">Multi-sensory impairment </w:t>
            </w:r>
          </w:p>
        </w:tc>
        <w:tc>
          <w:tcPr>
            <w:tcW w:w="2738" w:type="dxa"/>
            <w:noWrap/>
            <w:hideMark/>
          </w:tcPr>
          <w:p w:rsidR="00FD6EAE" w:rsidRPr="004A73DA" w:rsidRDefault="00FD6EAE" w:rsidP="003337C2">
            <w:pPr>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4A73DA">
              <w:rPr>
                <w:rFonts w:cs="Arial"/>
                <w:color w:val="000000"/>
                <w:sz w:val="22"/>
                <w:szCs w:val="22"/>
                <w:lang w:eastAsia="en-GB"/>
              </w:rPr>
              <w:t>0.2%</w:t>
            </w:r>
          </w:p>
        </w:tc>
      </w:tr>
      <w:tr w:rsidR="00FD6EAE" w:rsidRPr="004A73DA" w:rsidTr="006815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73" w:type="dxa"/>
            <w:noWrap/>
          </w:tcPr>
          <w:p w:rsidR="00FD6EAE" w:rsidRPr="004A73DA" w:rsidRDefault="00FD6EAE" w:rsidP="003337C2">
            <w:pPr>
              <w:jc w:val="center"/>
              <w:rPr>
                <w:rFonts w:cs="Arial"/>
                <w:color w:val="000000"/>
                <w:sz w:val="22"/>
                <w:szCs w:val="22"/>
                <w:lang w:eastAsia="en-GB"/>
              </w:rPr>
            </w:pPr>
          </w:p>
        </w:tc>
        <w:tc>
          <w:tcPr>
            <w:tcW w:w="4111" w:type="dxa"/>
          </w:tcPr>
          <w:p w:rsidR="00FD6EAE" w:rsidRPr="004A73DA" w:rsidRDefault="00FD6EAE" w:rsidP="003337C2">
            <w:pP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p>
        </w:tc>
        <w:tc>
          <w:tcPr>
            <w:tcW w:w="2738" w:type="dxa"/>
            <w:noWrap/>
          </w:tcPr>
          <w:p w:rsidR="00FD6EAE" w:rsidRPr="004A73DA" w:rsidRDefault="00FD6EAE" w:rsidP="003337C2">
            <w:pPr>
              <w:jc w:val="center"/>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p>
        </w:tc>
      </w:tr>
    </w:tbl>
    <w:p w:rsidR="0068157B" w:rsidRPr="004A73DA" w:rsidRDefault="004D6001" w:rsidP="005A1386">
      <w:pPr>
        <w:pStyle w:val="NoSpacing"/>
        <w:rPr>
          <w:rFonts w:ascii="Arial" w:eastAsia="Times New Roman" w:hAnsi="Arial" w:cs="Arial"/>
          <w:i/>
          <w:sz w:val="20"/>
          <w:szCs w:val="20"/>
          <w:lang w:eastAsia="en-GB"/>
        </w:rPr>
      </w:pPr>
      <w:r w:rsidRPr="004A73DA">
        <w:rPr>
          <w:rFonts w:ascii="Arial" w:eastAsia="Times New Roman" w:hAnsi="Arial" w:cs="Arial"/>
          <w:i/>
          <w:sz w:val="20"/>
          <w:szCs w:val="20"/>
          <w:lang w:eastAsia="en-GB"/>
        </w:rPr>
        <w:t>Source: Ju</w:t>
      </w:r>
      <w:r w:rsidR="0093744C" w:rsidRPr="004A73DA">
        <w:rPr>
          <w:rFonts w:ascii="Arial" w:eastAsia="Times New Roman" w:hAnsi="Arial" w:cs="Arial"/>
          <w:i/>
          <w:sz w:val="20"/>
          <w:szCs w:val="20"/>
          <w:lang w:eastAsia="en-GB"/>
        </w:rPr>
        <w:t xml:space="preserve">ly </w:t>
      </w:r>
      <w:r w:rsidRPr="004A73DA">
        <w:rPr>
          <w:rFonts w:ascii="Arial" w:eastAsia="Times New Roman" w:hAnsi="Arial" w:cs="Arial"/>
          <w:i/>
          <w:sz w:val="20"/>
          <w:szCs w:val="20"/>
          <w:lang w:eastAsia="en-GB"/>
        </w:rPr>
        <w:t>2017 data report to Schools Forum</w:t>
      </w:r>
      <w:r w:rsidR="0093744C" w:rsidRPr="004A73DA">
        <w:rPr>
          <w:rFonts w:ascii="Arial" w:eastAsia="Times New Roman" w:hAnsi="Arial" w:cs="Arial"/>
          <w:i/>
          <w:sz w:val="20"/>
          <w:szCs w:val="20"/>
          <w:lang w:eastAsia="en-GB"/>
        </w:rPr>
        <w:t xml:space="preserve"> (May 2017 data) </w:t>
      </w:r>
    </w:p>
    <w:p w:rsidR="00363525" w:rsidRPr="008101BD" w:rsidRDefault="00BC3252" w:rsidP="005A1386">
      <w:pPr>
        <w:rPr>
          <w:rFonts w:eastAsia="Times New Roman" w:cs="Arial"/>
          <w:b/>
          <w:szCs w:val="24"/>
          <w:lang w:eastAsia="en-GB"/>
        </w:rPr>
      </w:pPr>
      <w:r>
        <w:rPr>
          <w:rFonts w:eastAsia="Times New Roman" w:cs="Arial"/>
          <w:b/>
          <w:szCs w:val="24"/>
          <w:lang w:eastAsia="en-GB"/>
        </w:rPr>
        <w:br w:type="page"/>
      </w:r>
      <w:r w:rsidR="00363525" w:rsidRPr="004A73DA">
        <w:rPr>
          <w:rFonts w:eastAsia="Times New Roman" w:cs="Arial"/>
          <w:b/>
          <w:sz w:val="22"/>
          <w:szCs w:val="22"/>
          <w:lang w:eastAsia="en-GB"/>
        </w:rPr>
        <w:lastRenderedPageBreak/>
        <w:t>Ethnicity</w:t>
      </w:r>
    </w:p>
    <w:p w:rsidR="0068157B" w:rsidRPr="004A73DA" w:rsidRDefault="0068157B" w:rsidP="005A1386">
      <w:pPr>
        <w:rPr>
          <w:rFonts w:eastAsia="Times New Roman" w:cs="Arial"/>
          <w:color w:val="FF0000"/>
          <w:sz w:val="22"/>
          <w:szCs w:val="22"/>
          <w:u w:val="single"/>
          <w:lang w:eastAsia="en-GB"/>
        </w:rPr>
      </w:pPr>
    </w:p>
    <w:p w:rsidR="0068157B" w:rsidRPr="004A73DA" w:rsidRDefault="0068157B" w:rsidP="005A1386">
      <w:pPr>
        <w:rPr>
          <w:rFonts w:eastAsia="Times New Roman" w:cs="Arial"/>
          <w:sz w:val="22"/>
          <w:szCs w:val="22"/>
          <w:lang w:eastAsia="en-GB"/>
        </w:rPr>
      </w:pPr>
      <w:r w:rsidRPr="004A73DA">
        <w:rPr>
          <w:rFonts w:eastAsia="Times New Roman" w:cs="Arial"/>
          <w:sz w:val="22"/>
          <w:szCs w:val="22"/>
          <w:lang w:eastAsia="en-GB"/>
        </w:rPr>
        <w:t xml:space="preserve">The analysis of SEND cohort of children with </w:t>
      </w:r>
      <w:proofErr w:type="spellStart"/>
      <w:r w:rsidRPr="004A73DA">
        <w:rPr>
          <w:rFonts w:eastAsia="Times New Roman" w:cs="Arial"/>
          <w:sz w:val="22"/>
          <w:szCs w:val="22"/>
          <w:lang w:eastAsia="en-GB"/>
        </w:rPr>
        <w:t>EHC</w:t>
      </w:r>
      <w:proofErr w:type="spellEnd"/>
      <w:r w:rsidRPr="004A73DA">
        <w:rPr>
          <w:rFonts w:eastAsia="Times New Roman" w:cs="Arial"/>
          <w:sz w:val="22"/>
          <w:szCs w:val="22"/>
          <w:lang w:eastAsia="en-GB"/>
        </w:rPr>
        <w:t xml:space="preserve"> plans and SEN Support at schools </w:t>
      </w:r>
      <w:r w:rsidR="004A73DA">
        <w:rPr>
          <w:rFonts w:eastAsia="Times New Roman" w:cs="Arial"/>
          <w:sz w:val="22"/>
          <w:szCs w:val="22"/>
          <w:lang w:eastAsia="en-GB"/>
        </w:rPr>
        <w:t xml:space="preserve">broadly </w:t>
      </w:r>
      <w:r w:rsidRPr="004A73DA">
        <w:rPr>
          <w:rFonts w:eastAsia="Times New Roman" w:cs="Arial"/>
          <w:sz w:val="22"/>
          <w:szCs w:val="22"/>
          <w:lang w:eastAsia="en-GB"/>
        </w:rPr>
        <w:t xml:space="preserve">mirrors the ethnicity profile of all pupils in the local area. </w:t>
      </w:r>
    </w:p>
    <w:p w:rsidR="0068157B" w:rsidRPr="004A73DA" w:rsidRDefault="0068157B" w:rsidP="005A1386">
      <w:pPr>
        <w:rPr>
          <w:rFonts w:eastAsia="Times New Roman" w:cs="Arial"/>
          <w:color w:val="FF0000"/>
          <w:sz w:val="22"/>
          <w:szCs w:val="22"/>
          <w:u w:val="single"/>
          <w:lang w:eastAsia="en-GB"/>
        </w:rPr>
      </w:pPr>
    </w:p>
    <w:tbl>
      <w:tblPr>
        <w:tblStyle w:val="PlainTable31"/>
        <w:tblW w:w="9009" w:type="dxa"/>
        <w:tblLook w:val="04A0" w:firstRow="1" w:lastRow="0" w:firstColumn="1" w:lastColumn="0" w:noHBand="0" w:noVBand="1"/>
      </w:tblPr>
      <w:tblGrid>
        <w:gridCol w:w="2388"/>
        <w:gridCol w:w="2207"/>
        <w:gridCol w:w="2207"/>
        <w:gridCol w:w="2207"/>
      </w:tblGrid>
      <w:tr w:rsidR="0068157B" w:rsidRPr="004A73DA" w:rsidTr="004A73DA">
        <w:trPr>
          <w:cnfStyle w:val="100000000000" w:firstRow="1" w:lastRow="0" w:firstColumn="0" w:lastColumn="0" w:oddVBand="0" w:evenVBand="0" w:oddHBand="0" w:evenHBand="0" w:firstRowFirstColumn="0" w:firstRowLastColumn="0" w:lastRowFirstColumn="0" w:lastRowLastColumn="0"/>
          <w:trHeight w:val="284"/>
        </w:trPr>
        <w:tc>
          <w:tcPr>
            <w:cnfStyle w:val="001000000100" w:firstRow="0" w:lastRow="0" w:firstColumn="1" w:lastColumn="0" w:oddVBand="0" w:evenVBand="0" w:oddHBand="0" w:evenHBand="0" w:firstRowFirstColumn="1" w:firstRowLastColumn="0" w:lastRowFirstColumn="0" w:lastRowLastColumn="0"/>
            <w:tcW w:w="2388" w:type="dxa"/>
            <w:tcBorders>
              <w:top w:val="single" w:sz="4" w:space="0" w:color="auto"/>
              <w:left w:val="single" w:sz="4" w:space="0" w:color="auto"/>
            </w:tcBorders>
            <w:noWrap/>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Ethnicity</w:t>
            </w:r>
          </w:p>
        </w:tc>
        <w:tc>
          <w:tcPr>
            <w:tcW w:w="2207" w:type="dxa"/>
            <w:tcBorders>
              <w:top w:val="single" w:sz="4" w:space="0" w:color="auto"/>
            </w:tcBorders>
          </w:tcPr>
          <w:p w:rsidR="0068157B" w:rsidRPr="004A73DA" w:rsidRDefault="0068157B" w:rsidP="004A73D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proofErr w:type="spellStart"/>
            <w:r w:rsidRPr="004A73DA">
              <w:rPr>
                <w:rFonts w:ascii="Arial" w:hAnsi="Arial" w:cs="Arial"/>
                <w:color w:val="000000"/>
                <w:lang w:eastAsia="en-GB"/>
              </w:rPr>
              <w:t>EHCPs</w:t>
            </w:r>
            <w:proofErr w:type="spellEnd"/>
          </w:p>
        </w:tc>
        <w:tc>
          <w:tcPr>
            <w:tcW w:w="2207" w:type="dxa"/>
            <w:tcBorders>
              <w:top w:val="single" w:sz="4" w:space="0" w:color="auto"/>
            </w:tcBorders>
          </w:tcPr>
          <w:p w:rsidR="0068157B" w:rsidRPr="004A73DA" w:rsidRDefault="0068157B" w:rsidP="004A73D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SEN Support</w:t>
            </w:r>
          </w:p>
        </w:tc>
        <w:tc>
          <w:tcPr>
            <w:tcW w:w="2207" w:type="dxa"/>
            <w:tcBorders>
              <w:top w:val="single" w:sz="4" w:space="0" w:color="auto"/>
              <w:right w:val="single" w:sz="4" w:space="0" w:color="auto"/>
            </w:tcBorders>
          </w:tcPr>
          <w:p w:rsidR="0068157B" w:rsidRPr="004A73DA" w:rsidRDefault="0068157B" w:rsidP="004A73D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All Pupils</w:t>
            </w:r>
          </w:p>
        </w:tc>
      </w:tr>
      <w:tr w:rsidR="0068157B" w:rsidRPr="004A73DA" w:rsidTr="004A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White British</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86.6%</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86.8%</w:t>
            </w:r>
          </w:p>
        </w:tc>
        <w:tc>
          <w:tcPr>
            <w:tcW w:w="2207" w:type="dxa"/>
            <w:tcBorders>
              <w:right w:val="single" w:sz="4" w:space="0" w:color="auto"/>
            </w:tcBorders>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83.90%</w:t>
            </w:r>
          </w:p>
        </w:tc>
      </w:tr>
      <w:tr w:rsidR="0068157B" w:rsidRPr="004A73DA" w:rsidTr="004A73DA">
        <w:trPr>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Mixed</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4.9%</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4.4%</w:t>
            </w:r>
          </w:p>
        </w:tc>
        <w:tc>
          <w:tcPr>
            <w:tcW w:w="2207" w:type="dxa"/>
            <w:tcBorders>
              <w:right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4.90%</w:t>
            </w:r>
          </w:p>
        </w:tc>
      </w:tr>
      <w:tr w:rsidR="0068157B" w:rsidRPr="004A73DA" w:rsidTr="004A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White Non-British</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2.9%</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4.1%</w:t>
            </w:r>
          </w:p>
        </w:tc>
        <w:tc>
          <w:tcPr>
            <w:tcW w:w="2207" w:type="dxa"/>
            <w:tcBorders>
              <w:right w:val="single" w:sz="4" w:space="0" w:color="auto"/>
            </w:tcBorders>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4.70%</w:t>
            </w:r>
          </w:p>
        </w:tc>
      </w:tr>
      <w:tr w:rsidR="0068157B" w:rsidRPr="004A73DA" w:rsidTr="004A73DA">
        <w:trPr>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Asian</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2.1%</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1.9%</w:t>
            </w:r>
          </w:p>
        </w:tc>
        <w:tc>
          <w:tcPr>
            <w:tcW w:w="2207" w:type="dxa"/>
            <w:tcBorders>
              <w:right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3.30%</w:t>
            </w:r>
          </w:p>
        </w:tc>
      </w:tr>
      <w:tr w:rsidR="0068157B" w:rsidRPr="004A73DA" w:rsidTr="004A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Black</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1.9%</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1.4%</w:t>
            </w:r>
          </w:p>
        </w:tc>
        <w:tc>
          <w:tcPr>
            <w:tcW w:w="2207" w:type="dxa"/>
            <w:tcBorders>
              <w:right w:val="single" w:sz="4" w:space="0" w:color="auto"/>
            </w:tcBorders>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1.60%</w:t>
            </w:r>
          </w:p>
        </w:tc>
      </w:tr>
      <w:tr w:rsidR="0068157B" w:rsidRPr="004A73DA" w:rsidTr="004A73DA">
        <w:trPr>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Chinese</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0.2%</w:t>
            </w:r>
          </w:p>
        </w:tc>
        <w:tc>
          <w:tcPr>
            <w:tcW w:w="2207" w:type="dxa"/>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0.3 %</w:t>
            </w:r>
          </w:p>
        </w:tc>
        <w:tc>
          <w:tcPr>
            <w:tcW w:w="2207" w:type="dxa"/>
            <w:tcBorders>
              <w:right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0.30%</w:t>
            </w:r>
          </w:p>
        </w:tc>
      </w:tr>
      <w:tr w:rsidR="0068157B" w:rsidRPr="004A73DA" w:rsidTr="004A73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Any Other</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0.2%</w:t>
            </w:r>
          </w:p>
        </w:tc>
        <w:tc>
          <w:tcPr>
            <w:tcW w:w="2207" w:type="dxa"/>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0.3%</w:t>
            </w:r>
          </w:p>
        </w:tc>
        <w:tc>
          <w:tcPr>
            <w:tcW w:w="2207" w:type="dxa"/>
            <w:tcBorders>
              <w:right w:val="single" w:sz="4" w:space="0" w:color="auto"/>
            </w:tcBorders>
          </w:tcPr>
          <w:p w:rsidR="0068157B" w:rsidRPr="004A73DA" w:rsidRDefault="0068157B" w:rsidP="004A73D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0.50%</w:t>
            </w:r>
          </w:p>
        </w:tc>
      </w:tr>
      <w:tr w:rsidR="0068157B" w:rsidRPr="004A73DA" w:rsidTr="004A73DA">
        <w:trPr>
          <w:trHeight w:val="300"/>
        </w:trPr>
        <w:tc>
          <w:tcPr>
            <w:cnfStyle w:val="001000000000" w:firstRow="0" w:lastRow="0" w:firstColumn="1" w:lastColumn="0" w:oddVBand="0" w:evenVBand="0" w:oddHBand="0" w:evenHBand="0" w:firstRowFirstColumn="0" w:firstRowLastColumn="0" w:lastRowFirstColumn="0" w:lastRowLastColumn="0"/>
            <w:tcW w:w="2388" w:type="dxa"/>
            <w:tcBorders>
              <w:left w:val="single" w:sz="4" w:space="0" w:color="auto"/>
              <w:bottom w:val="single" w:sz="4" w:space="0" w:color="auto"/>
            </w:tcBorders>
            <w:noWrap/>
            <w:hideMark/>
          </w:tcPr>
          <w:p w:rsidR="0068157B" w:rsidRPr="004A73DA" w:rsidRDefault="0068157B" w:rsidP="003337C2">
            <w:pPr>
              <w:rPr>
                <w:rFonts w:ascii="Arial" w:hAnsi="Arial" w:cs="Arial"/>
                <w:color w:val="000000"/>
                <w:lang w:eastAsia="en-GB"/>
              </w:rPr>
            </w:pPr>
            <w:r w:rsidRPr="004A73DA">
              <w:rPr>
                <w:rFonts w:ascii="Arial" w:hAnsi="Arial" w:cs="Arial"/>
                <w:color w:val="000000"/>
                <w:lang w:eastAsia="en-GB"/>
              </w:rPr>
              <w:t>Unclassified</w:t>
            </w:r>
          </w:p>
        </w:tc>
        <w:tc>
          <w:tcPr>
            <w:tcW w:w="2207" w:type="dxa"/>
            <w:tcBorders>
              <w:bottom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1.2%</w:t>
            </w:r>
          </w:p>
        </w:tc>
        <w:tc>
          <w:tcPr>
            <w:tcW w:w="2207" w:type="dxa"/>
            <w:tcBorders>
              <w:bottom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1.0%</w:t>
            </w:r>
          </w:p>
        </w:tc>
        <w:tc>
          <w:tcPr>
            <w:tcW w:w="2207" w:type="dxa"/>
            <w:tcBorders>
              <w:bottom w:val="single" w:sz="4" w:space="0" w:color="auto"/>
              <w:right w:val="single" w:sz="4" w:space="0" w:color="auto"/>
            </w:tcBorders>
          </w:tcPr>
          <w:p w:rsidR="0068157B" w:rsidRPr="004A73DA" w:rsidRDefault="0068157B" w:rsidP="004A73D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GB"/>
              </w:rPr>
            </w:pPr>
            <w:r w:rsidRPr="004A73DA">
              <w:rPr>
                <w:rFonts w:ascii="Arial" w:hAnsi="Arial" w:cs="Arial"/>
                <w:color w:val="000000"/>
                <w:lang w:eastAsia="en-GB"/>
              </w:rPr>
              <w:t>0.70%</w:t>
            </w:r>
          </w:p>
        </w:tc>
      </w:tr>
    </w:tbl>
    <w:p w:rsidR="0068157B" w:rsidRPr="004A73DA" w:rsidRDefault="0093744C" w:rsidP="005A1386">
      <w:pPr>
        <w:rPr>
          <w:rFonts w:eastAsia="Times New Roman" w:cs="Arial"/>
          <w:i/>
          <w:sz w:val="20"/>
          <w:lang w:eastAsia="en-GB"/>
        </w:rPr>
      </w:pPr>
      <w:r w:rsidRPr="004A73DA">
        <w:rPr>
          <w:rFonts w:eastAsia="Times New Roman" w:cs="Arial"/>
          <w:i/>
          <w:sz w:val="20"/>
          <w:lang w:eastAsia="en-GB"/>
        </w:rPr>
        <w:t xml:space="preserve">Source: </w:t>
      </w:r>
      <w:proofErr w:type="spellStart"/>
      <w:r w:rsidRPr="004A73DA">
        <w:rPr>
          <w:rFonts w:eastAsia="Times New Roman" w:cs="Arial"/>
          <w:i/>
          <w:sz w:val="20"/>
          <w:lang w:eastAsia="en-GB"/>
        </w:rPr>
        <w:t>SEN2</w:t>
      </w:r>
      <w:proofErr w:type="spellEnd"/>
      <w:r w:rsidRPr="004A73DA">
        <w:rPr>
          <w:rFonts w:eastAsia="Times New Roman" w:cs="Arial"/>
          <w:i/>
          <w:sz w:val="20"/>
          <w:lang w:eastAsia="en-GB"/>
        </w:rPr>
        <w:t xml:space="preserve"> data return 2017</w:t>
      </w:r>
    </w:p>
    <w:p w:rsidR="005A1386" w:rsidRPr="004A73DA" w:rsidRDefault="005A1386" w:rsidP="005A1386">
      <w:pPr>
        <w:rPr>
          <w:rFonts w:cs="Arial"/>
          <w:color w:val="FF0000"/>
          <w:sz w:val="22"/>
          <w:szCs w:val="22"/>
        </w:rPr>
      </w:pPr>
    </w:p>
    <w:p w:rsidR="00BC3252" w:rsidRPr="004A73DA" w:rsidRDefault="00BC3252" w:rsidP="005A1386">
      <w:pPr>
        <w:rPr>
          <w:rFonts w:cs="Arial"/>
          <w:b/>
          <w:sz w:val="22"/>
          <w:szCs w:val="22"/>
        </w:rPr>
      </w:pPr>
    </w:p>
    <w:p w:rsidR="00363525" w:rsidRPr="004A73DA" w:rsidRDefault="00363525" w:rsidP="005A1386">
      <w:pPr>
        <w:rPr>
          <w:rFonts w:cs="Arial"/>
          <w:b/>
          <w:sz w:val="22"/>
          <w:szCs w:val="22"/>
        </w:rPr>
      </w:pPr>
      <w:r w:rsidRPr="004A73DA">
        <w:rPr>
          <w:rFonts w:cs="Arial"/>
          <w:b/>
          <w:sz w:val="22"/>
          <w:szCs w:val="22"/>
        </w:rPr>
        <w:t>Gender</w:t>
      </w:r>
    </w:p>
    <w:p w:rsidR="00893848" w:rsidRPr="004A73DA" w:rsidRDefault="00893848" w:rsidP="005A1386">
      <w:pPr>
        <w:rPr>
          <w:rFonts w:cs="Arial"/>
          <w:b/>
          <w:sz w:val="22"/>
          <w:szCs w:val="22"/>
        </w:rPr>
      </w:pPr>
    </w:p>
    <w:p w:rsidR="00363525" w:rsidRPr="004A73DA" w:rsidRDefault="00FE74A6" w:rsidP="00047961">
      <w:pPr>
        <w:jc w:val="both"/>
        <w:rPr>
          <w:rFonts w:cs="Arial"/>
          <w:sz w:val="22"/>
          <w:szCs w:val="22"/>
        </w:rPr>
      </w:pPr>
      <w:r w:rsidRPr="004A73DA">
        <w:rPr>
          <w:rFonts w:cs="Arial"/>
          <w:sz w:val="22"/>
          <w:szCs w:val="22"/>
        </w:rPr>
        <w:t xml:space="preserve">74% of the children and young people with </w:t>
      </w:r>
      <w:proofErr w:type="spellStart"/>
      <w:r w:rsidRPr="004A73DA">
        <w:rPr>
          <w:rFonts w:cs="Arial"/>
          <w:sz w:val="22"/>
          <w:szCs w:val="22"/>
        </w:rPr>
        <w:t>EHC</w:t>
      </w:r>
      <w:proofErr w:type="spellEnd"/>
      <w:r w:rsidRPr="004A73DA">
        <w:rPr>
          <w:rFonts w:cs="Arial"/>
          <w:sz w:val="22"/>
          <w:szCs w:val="22"/>
        </w:rPr>
        <w:t xml:space="preserve"> plans are boys.  It is expected that there will be a higher percentage of male children with </w:t>
      </w:r>
      <w:proofErr w:type="spellStart"/>
      <w:r w:rsidRPr="004A73DA">
        <w:rPr>
          <w:rFonts w:cs="Arial"/>
          <w:sz w:val="22"/>
          <w:szCs w:val="22"/>
        </w:rPr>
        <w:t>EHC</w:t>
      </w:r>
      <w:proofErr w:type="spellEnd"/>
      <w:r w:rsidRPr="004A73DA">
        <w:rPr>
          <w:rFonts w:cs="Arial"/>
          <w:sz w:val="22"/>
          <w:szCs w:val="22"/>
        </w:rPr>
        <w:t xml:space="preserve"> plans than females as the incidence of SEN and disability is higher in boys than in girls. This is for a number of reasons: the key ones are that there are more genetic syndromes that effect boys than girls and boys are more likely to be referred for a medical diagnosis. There is growing evidence that female children are less likely to be identified with SEN as their behaviours are less likely to bring them to the attention of education </w:t>
      </w:r>
      <w:r w:rsidR="00047961" w:rsidRPr="004A73DA">
        <w:rPr>
          <w:rFonts w:cs="Arial"/>
          <w:sz w:val="22"/>
          <w:szCs w:val="22"/>
        </w:rPr>
        <w:t xml:space="preserve">and health professionals. It is therefore expected that the incidence of female children being issued </w:t>
      </w:r>
      <w:proofErr w:type="spellStart"/>
      <w:r w:rsidR="00047961" w:rsidRPr="004A73DA">
        <w:rPr>
          <w:rFonts w:cs="Arial"/>
          <w:sz w:val="22"/>
          <w:szCs w:val="22"/>
        </w:rPr>
        <w:t>EHC</w:t>
      </w:r>
      <w:proofErr w:type="spellEnd"/>
      <w:r w:rsidR="00047961" w:rsidRPr="004A73DA">
        <w:rPr>
          <w:rFonts w:cs="Arial"/>
          <w:sz w:val="22"/>
          <w:szCs w:val="22"/>
        </w:rPr>
        <w:t xml:space="preserve"> plans will increase slightly but a differential and imbalance will remain. </w:t>
      </w:r>
    </w:p>
    <w:p w:rsidR="004A73DA" w:rsidRDefault="004A73DA" w:rsidP="00047961">
      <w:pPr>
        <w:jc w:val="both"/>
        <w:rPr>
          <w:rFonts w:cs="Arial"/>
          <w:i/>
          <w:sz w:val="20"/>
        </w:rPr>
      </w:pPr>
    </w:p>
    <w:p w:rsidR="0093744C" w:rsidRPr="004A73DA" w:rsidRDefault="0093744C" w:rsidP="00047961">
      <w:pPr>
        <w:jc w:val="both"/>
        <w:rPr>
          <w:rFonts w:cs="Arial"/>
          <w:i/>
          <w:color w:val="FF0000"/>
          <w:sz w:val="20"/>
        </w:rPr>
      </w:pPr>
      <w:r w:rsidRPr="004A73DA">
        <w:rPr>
          <w:rFonts w:cs="Arial"/>
          <w:i/>
          <w:sz w:val="20"/>
        </w:rPr>
        <w:t xml:space="preserve">Source: all pupils with </w:t>
      </w:r>
      <w:proofErr w:type="spellStart"/>
      <w:r w:rsidRPr="004A73DA">
        <w:rPr>
          <w:rFonts w:cs="Arial"/>
          <w:i/>
          <w:sz w:val="20"/>
        </w:rPr>
        <w:t>EHC</w:t>
      </w:r>
      <w:proofErr w:type="spellEnd"/>
      <w:r w:rsidRPr="004A73DA">
        <w:rPr>
          <w:rFonts w:cs="Arial"/>
          <w:i/>
          <w:sz w:val="20"/>
        </w:rPr>
        <w:t xml:space="preserve"> plan list 12 Dec 2017</w:t>
      </w:r>
    </w:p>
    <w:p w:rsidR="00363525" w:rsidRPr="004A73DA" w:rsidRDefault="00363525" w:rsidP="005A1386">
      <w:pPr>
        <w:rPr>
          <w:rFonts w:cs="Arial"/>
          <w:color w:val="FF0000"/>
          <w:sz w:val="22"/>
          <w:szCs w:val="22"/>
        </w:rPr>
      </w:pPr>
    </w:p>
    <w:p w:rsidR="00BC3252" w:rsidRPr="004A73DA" w:rsidRDefault="00BC3252" w:rsidP="005A1386">
      <w:pPr>
        <w:rPr>
          <w:rFonts w:cs="Arial"/>
          <w:b/>
          <w:sz w:val="22"/>
          <w:szCs w:val="22"/>
        </w:rPr>
      </w:pPr>
    </w:p>
    <w:p w:rsidR="00363525" w:rsidRPr="004A73DA" w:rsidRDefault="00363525" w:rsidP="005A1386">
      <w:pPr>
        <w:rPr>
          <w:rFonts w:cs="Arial"/>
          <w:b/>
          <w:sz w:val="22"/>
          <w:szCs w:val="22"/>
        </w:rPr>
      </w:pPr>
      <w:r w:rsidRPr="004A73DA">
        <w:rPr>
          <w:rFonts w:cs="Arial"/>
          <w:b/>
          <w:sz w:val="22"/>
          <w:szCs w:val="22"/>
        </w:rPr>
        <w:t>Age</w:t>
      </w:r>
    </w:p>
    <w:p w:rsidR="003337C2" w:rsidRPr="004A73DA" w:rsidRDefault="003337C2" w:rsidP="005A1386">
      <w:pPr>
        <w:rPr>
          <w:rFonts w:cs="Arial"/>
          <w:sz w:val="22"/>
          <w:szCs w:val="22"/>
          <w:u w:val="single"/>
        </w:rPr>
      </w:pPr>
    </w:p>
    <w:p w:rsidR="003337C2" w:rsidRPr="004A73DA" w:rsidRDefault="003337C2" w:rsidP="005A1386">
      <w:pPr>
        <w:rPr>
          <w:rFonts w:cs="Arial"/>
          <w:sz w:val="22"/>
          <w:szCs w:val="22"/>
        </w:rPr>
      </w:pPr>
      <w:r w:rsidRPr="004A73DA">
        <w:rPr>
          <w:rFonts w:cs="Arial"/>
          <w:sz w:val="22"/>
          <w:szCs w:val="22"/>
        </w:rPr>
        <w:t xml:space="preserve">The table below provides information on the number of children with an </w:t>
      </w:r>
      <w:proofErr w:type="spellStart"/>
      <w:r w:rsidRPr="004A73DA">
        <w:rPr>
          <w:rFonts w:cs="Arial"/>
          <w:sz w:val="22"/>
          <w:szCs w:val="22"/>
        </w:rPr>
        <w:t>EHC</w:t>
      </w:r>
      <w:proofErr w:type="spellEnd"/>
      <w:r w:rsidRPr="004A73DA">
        <w:rPr>
          <w:rFonts w:cs="Arial"/>
          <w:sz w:val="22"/>
          <w:szCs w:val="22"/>
        </w:rPr>
        <w:t xml:space="preserve"> plan by year group and category of need. </w:t>
      </w:r>
    </w:p>
    <w:p w:rsidR="00047961" w:rsidRPr="004A73DA" w:rsidRDefault="00047961" w:rsidP="005A1386">
      <w:pPr>
        <w:rPr>
          <w:rFonts w:cs="Arial"/>
          <w:color w:val="FF0000"/>
          <w:sz w:val="22"/>
          <w:szCs w:val="22"/>
          <w:u w:val="single"/>
        </w:rPr>
      </w:pPr>
    </w:p>
    <w:tbl>
      <w:tblPr>
        <w:tblW w:w="10283" w:type="dxa"/>
        <w:tblLayout w:type="fixed"/>
        <w:tblLook w:val="04A0" w:firstRow="1" w:lastRow="0" w:firstColumn="1" w:lastColumn="0" w:noHBand="0" w:noVBand="1"/>
      </w:tblPr>
      <w:tblGrid>
        <w:gridCol w:w="928"/>
        <w:gridCol w:w="686"/>
        <w:gridCol w:w="479"/>
        <w:gridCol w:w="709"/>
        <w:gridCol w:w="708"/>
        <w:gridCol w:w="709"/>
        <w:gridCol w:w="567"/>
        <w:gridCol w:w="851"/>
        <w:gridCol w:w="850"/>
        <w:gridCol w:w="851"/>
        <w:gridCol w:w="708"/>
        <w:gridCol w:w="819"/>
        <w:gridCol w:w="426"/>
        <w:gridCol w:w="992"/>
      </w:tblGrid>
      <w:tr w:rsidR="00BC3252" w:rsidRPr="004A73DA" w:rsidTr="004A73DA">
        <w:trPr>
          <w:trHeight w:val="300"/>
        </w:trPr>
        <w:tc>
          <w:tcPr>
            <w:tcW w:w="928" w:type="dxa"/>
            <w:tcBorders>
              <w:top w:val="single" w:sz="4" w:space="0" w:color="auto"/>
              <w:left w:val="single" w:sz="4" w:space="0" w:color="auto"/>
              <w:bottom w:val="single" w:sz="4" w:space="0" w:color="auto"/>
              <w:right w:val="single" w:sz="4" w:space="0" w:color="auto"/>
            </w:tcBorders>
            <w:shd w:val="clear" w:color="DDEBF7" w:fill="DDEBF7"/>
            <w:noWrap/>
            <w:hideMark/>
          </w:tcPr>
          <w:p w:rsidR="003337C2" w:rsidRPr="004A73DA" w:rsidRDefault="003337C2" w:rsidP="003337C2">
            <w:pPr>
              <w:rPr>
                <w:rFonts w:cs="Arial"/>
                <w:b/>
                <w:bCs/>
                <w:color w:val="000000"/>
                <w:sz w:val="22"/>
                <w:szCs w:val="22"/>
                <w:lang w:eastAsia="en-GB"/>
              </w:rPr>
            </w:pPr>
            <w:r w:rsidRPr="004A73DA">
              <w:rPr>
                <w:rFonts w:cs="Arial"/>
                <w:b/>
                <w:bCs/>
                <w:color w:val="000000"/>
                <w:sz w:val="22"/>
                <w:szCs w:val="22"/>
                <w:lang w:eastAsia="en-GB"/>
              </w:rPr>
              <w:t>Year group</w:t>
            </w:r>
          </w:p>
        </w:tc>
        <w:tc>
          <w:tcPr>
            <w:tcW w:w="686"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ASD</w:t>
            </w:r>
            <w:proofErr w:type="spellEnd"/>
          </w:p>
        </w:tc>
        <w:tc>
          <w:tcPr>
            <w:tcW w:w="479"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r w:rsidRPr="004A73DA">
              <w:rPr>
                <w:rFonts w:cs="Arial"/>
                <w:b/>
                <w:bCs/>
                <w:color w:val="000000"/>
                <w:sz w:val="20"/>
                <w:lang w:eastAsia="en-GB"/>
              </w:rPr>
              <w:t>HI</w:t>
            </w:r>
          </w:p>
        </w:tc>
        <w:tc>
          <w:tcPr>
            <w:tcW w:w="709"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MLD</w:t>
            </w:r>
            <w:proofErr w:type="spellEnd"/>
          </w:p>
        </w:tc>
        <w:tc>
          <w:tcPr>
            <w:tcW w:w="708"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MSI</w:t>
            </w:r>
            <w:proofErr w:type="spellEnd"/>
          </w:p>
        </w:tc>
        <w:tc>
          <w:tcPr>
            <w:tcW w:w="709"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OTH</w:t>
            </w:r>
            <w:proofErr w:type="spellEnd"/>
          </w:p>
        </w:tc>
        <w:tc>
          <w:tcPr>
            <w:tcW w:w="567"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r w:rsidRPr="004A73DA">
              <w:rPr>
                <w:rFonts w:cs="Arial"/>
                <w:b/>
                <w:bCs/>
                <w:color w:val="000000"/>
                <w:sz w:val="20"/>
                <w:lang w:eastAsia="en-GB"/>
              </w:rPr>
              <w:t>PD</w:t>
            </w:r>
          </w:p>
        </w:tc>
        <w:tc>
          <w:tcPr>
            <w:tcW w:w="851"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PMLD</w:t>
            </w:r>
            <w:proofErr w:type="spellEnd"/>
          </w:p>
        </w:tc>
        <w:tc>
          <w:tcPr>
            <w:tcW w:w="850"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SEMH</w:t>
            </w:r>
            <w:proofErr w:type="spellEnd"/>
          </w:p>
        </w:tc>
        <w:tc>
          <w:tcPr>
            <w:tcW w:w="851"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SLCN</w:t>
            </w:r>
            <w:proofErr w:type="spellEnd"/>
          </w:p>
        </w:tc>
        <w:tc>
          <w:tcPr>
            <w:tcW w:w="708"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SLD</w:t>
            </w:r>
            <w:proofErr w:type="spellEnd"/>
          </w:p>
        </w:tc>
        <w:tc>
          <w:tcPr>
            <w:tcW w:w="819"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proofErr w:type="spellStart"/>
            <w:r w:rsidRPr="004A73DA">
              <w:rPr>
                <w:rFonts w:cs="Arial"/>
                <w:b/>
                <w:bCs/>
                <w:color w:val="000000"/>
                <w:sz w:val="20"/>
                <w:lang w:eastAsia="en-GB"/>
              </w:rPr>
              <w:t>SPLD</w:t>
            </w:r>
            <w:proofErr w:type="spellEnd"/>
          </w:p>
        </w:tc>
        <w:tc>
          <w:tcPr>
            <w:tcW w:w="426"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r w:rsidRPr="004A73DA">
              <w:rPr>
                <w:rFonts w:cs="Arial"/>
                <w:b/>
                <w:bCs/>
                <w:color w:val="000000"/>
                <w:sz w:val="20"/>
                <w:lang w:eastAsia="en-GB"/>
              </w:rPr>
              <w:t>VI</w:t>
            </w:r>
          </w:p>
        </w:tc>
        <w:tc>
          <w:tcPr>
            <w:tcW w:w="992" w:type="dxa"/>
            <w:tcBorders>
              <w:top w:val="single" w:sz="4" w:space="0" w:color="auto"/>
              <w:left w:val="nil"/>
              <w:bottom w:val="single" w:sz="4" w:space="0" w:color="auto"/>
              <w:right w:val="single" w:sz="4" w:space="0" w:color="auto"/>
            </w:tcBorders>
            <w:shd w:val="clear" w:color="DDEBF7" w:fill="DDEBF7"/>
            <w:noWrap/>
            <w:hideMark/>
          </w:tcPr>
          <w:p w:rsidR="003337C2" w:rsidRPr="004A73DA" w:rsidRDefault="003337C2" w:rsidP="004A73DA">
            <w:pPr>
              <w:jc w:val="center"/>
              <w:rPr>
                <w:rFonts w:cs="Arial"/>
                <w:b/>
                <w:bCs/>
                <w:color w:val="000000"/>
                <w:sz w:val="20"/>
                <w:lang w:eastAsia="en-GB"/>
              </w:rPr>
            </w:pPr>
            <w:r w:rsidRPr="004A73DA">
              <w:rPr>
                <w:rFonts w:cs="Arial"/>
                <w:b/>
                <w:bCs/>
                <w:color w:val="000000"/>
                <w:sz w:val="20"/>
                <w:lang w:eastAsia="en-GB"/>
              </w:rPr>
              <w:t>Grand Total</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-2</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0.7%</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1.9%</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0</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28</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7</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30</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5.0%</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26</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10</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29</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5.2%</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2</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20</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8</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13</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26</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5.5%</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3</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21</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12</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9</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17</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5.2%</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4</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24</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17</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25</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12</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6.2%</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5</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24</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16</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16</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14</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17</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6.6%</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6</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27</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26</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8</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19</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9</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6.6%</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7</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25</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12</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24</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22</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7</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6.4%</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8</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25</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18</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10</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18</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26</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9</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6.8%</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9</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32</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17</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15</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26</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7</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7.3%</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10</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23</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19</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21</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6.0%</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11</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47</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28</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21</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22</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8.4%</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lastRenderedPageBreak/>
              <w:t>12</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34</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24</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20</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7</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6.8%</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13</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36</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8</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21</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9</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6.9%</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14</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22</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16</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10</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4.0%</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15</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9</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7</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2.1%</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16</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4</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6</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1.1%</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17</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3</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5</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0.7%</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18</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2</w:t>
            </w: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0.2%</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19</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0.1%</w:t>
            </w:r>
          </w:p>
        </w:tc>
      </w:tr>
      <w:tr w:rsidR="00BC3252" w:rsidRPr="004A73DA" w:rsidTr="004A73DA">
        <w:trPr>
          <w:trHeight w:val="300"/>
        </w:trPr>
        <w:tc>
          <w:tcPr>
            <w:tcW w:w="928" w:type="dxa"/>
            <w:tcBorders>
              <w:top w:val="nil"/>
              <w:left w:val="single" w:sz="4" w:space="0" w:color="auto"/>
              <w:bottom w:val="single" w:sz="4" w:space="0" w:color="auto"/>
              <w:right w:val="single" w:sz="4" w:space="0" w:color="auto"/>
            </w:tcBorders>
            <w:shd w:val="clear" w:color="auto" w:fill="auto"/>
            <w:noWrap/>
            <w:hideMark/>
          </w:tcPr>
          <w:p w:rsidR="003337C2" w:rsidRPr="004A73DA" w:rsidRDefault="003337C2" w:rsidP="003337C2">
            <w:pPr>
              <w:rPr>
                <w:rFonts w:cs="Arial"/>
                <w:color w:val="000000"/>
                <w:sz w:val="22"/>
                <w:szCs w:val="22"/>
                <w:lang w:eastAsia="en-GB"/>
              </w:rPr>
            </w:pPr>
            <w:r w:rsidRPr="004A73DA">
              <w:rPr>
                <w:rFonts w:cs="Arial"/>
                <w:color w:val="000000"/>
                <w:sz w:val="22"/>
                <w:szCs w:val="22"/>
                <w:lang w:eastAsia="en-GB"/>
              </w:rPr>
              <w:t>20</w:t>
            </w:r>
          </w:p>
        </w:tc>
        <w:tc>
          <w:tcPr>
            <w:tcW w:w="68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7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70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567"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0"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51"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r w:rsidRPr="004A73DA">
              <w:rPr>
                <w:rFonts w:cs="Arial"/>
                <w:color w:val="000000"/>
                <w:sz w:val="22"/>
                <w:szCs w:val="22"/>
                <w:lang w:eastAsia="en-GB"/>
              </w:rPr>
              <w:t>1</w:t>
            </w:r>
          </w:p>
        </w:tc>
        <w:tc>
          <w:tcPr>
            <w:tcW w:w="708"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819"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426" w:type="dxa"/>
            <w:tcBorders>
              <w:top w:val="nil"/>
              <w:left w:val="nil"/>
              <w:bottom w:val="single" w:sz="4" w:space="0" w:color="auto"/>
              <w:right w:val="single" w:sz="4" w:space="0" w:color="auto"/>
            </w:tcBorders>
            <w:shd w:val="clear" w:color="auto" w:fill="auto"/>
            <w:noWrap/>
            <w:hideMark/>
          </w:tcPr>
          <w:p w:rsidR="003337C2" w:rsidRPr="004A73DA" w:rsidRDefault="003337C2" w:rsidP="004A73DA">
            <w:pPr>
              <w:jc w:val="center"/>
              <w:rPr>
                <w:rFonts w:cs="Arial"/>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hideMark/>
          </w:tcPr>
          <w:p w:rsidR="003337C2" w:rsidRPr="004A73DA" w:rsidRDefault="004D6001" w:rsidP="004A73DA">
            <w:pPr>
              <w:jc w:val="center"/>
              <w:rPr>
                <w:rFonts w:cs="Arial"/>
                <w:color w:val="000000"/>
                <w:sz w:val="22"/>
                <w:szCs w:val="22"/>
                <w:lang w:eastAsia="en-GB"/>
              </w:rPr>
            </w:pPr>
            <w:r w:rsidRPr="004A73DA">
              <w:rPr>
                <w:rFonts w:cs="Arial"/>
                <w:color w:val="000000"/>
                <w:sz w:val="22"/>
                <w:szCs w:val="22"/>
                <w:lang w:eastAsia="en-GB"/>
              </w:rPr>
              <w:t>&lt;0.1%</w:t>
            </w:r>
          </w:p>
        </w:tc>
      </w:tr>
    </w:tbl>
    <w:p w:rsidR="0093744C" w:rsidRPr="004A73DA" w:rsidRDefault="0093744C" w:rsidP="0093744C">
      <w:pPr>
        <w:pStyle w:val="NoSpacing"/>
        <w:rPr>
          <w:rFonts w:ascii="Arial" w:eastAsia="Times New Roman" w:hAnsi="Arial" w:cs="Arial"/>
          <w:i/>
          <w:sz w:val="20"/>
          <w:szCs w:val="20"/>
          <w:lang w:eastAsia="en-GB"/>
        </w:rPr>
      </w:pPr>
      <w:r w:rsidRPr="004A73DA">
        <w:rPr>
          <w:rFonts w:ascii="Arial" w:eastAsia="Times New Roman" w:hAnsi="Arial" w:cs="Arial"/>
          <w:i/>
          <w:sz w:val="20"/>
          <w:szCs w:val="20"/>
          <w:lang w:eastAsia="en-GB"/>
        </w:rPr>
        <w:t xml:space="preserve">Source: July 2017 data report to Schools Forum (May 2017 data) </w:t>
      </w:r>
    </w:p>
    <w:p w:rsidR="00047961" w:rsidRPr="004A73DA" w:rsidRDefault="00047961" w:rsidP="005A1386">
      <w:pPr>
        <w:rPr>
          <w:rFonts w:cs="Arial"/>
          <w:color w:val="FF0000"/>
          <w:sz w:val="22"/>
          <w:szCs w:val="22"/>
          <w:u w:val="single"/>
        </w:rPr>
      </w:pPr>
    </w:p>
    <w:p w:rsidR="00047961" w:rsidRPr="004A73DA" w:rsidRDefault="00047961" w:rsidP="005A1386">
      <w:pPr>
        <w:rPr>
          <w:rFonts w:cs="Arial"/>
          <w:color w:val="FF0000"/>
          <w:sz w:val="22"/>
          <w:szCs w:val="22"/>
          <w:u w:val="single"/>
        </w:rPr>
      </w:pPr>
    </w:p>
    <w:p w:rsidR="00363525" w:rsidRPr="004A73DA" w:rsidRDefault="00893848" w:rsidP="005A1386">
      <w:pPr>
        <w:rPr>
          <w:rFonts w:cs="Arial"/>
          <w:b/>
          <w:sz w:val="22"/>
          <w:szCs w:val="22"/>
        </w:rPr>
      </w:pPr>
      <w:r w:rsidRPr="004A73DA">
        <w:rPr>
          <w:rFonts w:cs="Arial"/>
          <w:b/>
          <w:sz w:val="22"/>
          <w:szCs w:val="22"/>
        </w:rPr>
        <w:t>Access to Support and Quality of Support</w:t>
      </w:r>
    </w:p>
    <w:p w:rsidR="00893848" w:rsidRPr="004A73DA" w:rsidRDefault="00893848" w:rsidP="005A1386">
      <w:pPr>
        <w:rPr>
          <w:rFonts w:cs="Arial"/>
          <w:b/>
          <w:sz w:val="22"/>
          <w:szCs w:val="22"/>
        </w:rPr>
      </w:pPr>
    </w:p>
    <w:p w:rsidR="00893848" w:rsidRPr="004A73DA" w:rsidRDefault="008D1097" w:rsidP="005A1386">
      <w:pPr>
        <w:rPr>
          <w:rFonts w:cs="Arial"/>
          <w:sz w:val="22"/>
          <w:szCs w:val="22"/>
        </w:rPr>
      </w:pPr>
      <w:r w:rsidRPr="004A73DA">
        <w:rPr>
          <w:rFonts w:cs="Arial"/>
          <w:sz w:val="22"/>
          <w:szCs w:val="22"/>
        </w:rPr>
        <w:t>Based on forecast demand and t</w:t>
      </w:r>
      <w:r w:rsidR="00893848" w:rsidRPr="004A73DA">
        <w:rPr>
          <w:rFonts w:cs="Arial"/>
          <w:sz w:val="22"/>
          <w:szCs w:val="22"/>
        </w:rPr>
        <w:t xml:space="preserve">hrough the development of </w:t>
      </w:r>
      <w:r w:rsidR="00BC3252" w:rsidRPr="004A73DA">
        <w:rPr>
          <w:rFonts w:cs="Arial"/>
          <w:sz w:val="22"/>
          <w:szCs w:val="22"/>
        </w:rPr>
        <w:t xml:space="preserve">the </w:t>
      </w:r>
      <w:r w:rsidR="00893848" w:rsidRPr="004A73DA">
        <w:rPr>
          <w:rFonts w:cs="Arial"/>
          <w:sz w:val="22"/>
          <w:szCs w:val="22"/>
        </w:rPr>
        <w:t>Specialist Planned Places Strategy, the local authority has expanded places to meet the needs of the following groups of children with SEND</w:t>
      </w:r>
      <w:r w:rsidRPr="004A73DA">
        <w:rPr>
          <w:rFonts w:cs="Arial"/>
          <w:sz w:val="22"/>
          <w:szCs w:val="22"/>
        </w:rPr>
        <w:t xml:space="preserve"> at specific age groups</w:t>
      </w:r>
      <w:r w:rsidR="00893848" w:rsidRPr="004A73DA">
        <w:rPr>
          <w:rFonts w:cs="Arial"/>
          <w:sz w:val="22"/>
          <w:szCs w:val="22"/>
        </w:rPr>
        <w:t>.</w:t>
      </w:r>
      <w:r w:rsidRPr="004A73DA">
        <w:rPr>
          <w:rFonts w:cs="Arial"/>
          <w:sz w:val="22"/>
          <w:szCs w:val="22"/>
        </w:rPr>
        <w:t xml:space="preserve">  Places are open for male and female pupils. </w:t>
      </w:r>
      <w:r w:rsidR="00893848" w:rsidRPr="004A73DA">
        <w:rPr>
          <w:rFonts w:cs="Arial"/>
          <w:sz w:val="22"/>
          <w:szCs w:val="22"/>
        </w:rPr>
        <w:t xml:space="preserve"> </w:t>
      </w:r>
    </w:p>
    <w:p w:rsidR="00893848" w:rsidRPr="004A73DA" w:rsidRDefault="00893848" w:rsidP="005A1386">
      <w:pPr>
        <w:rPr>
          <w:rFonts w:cs="Arial"/>
          <w:sz w:val="22"/>
          <w:szCs w:val="22"/>
        </w:rPr>
      </w:pPr>
    </w:p>
    <w:p w:rsidR="00893848" w:rsidRPr="004A73DA" w:rsidRDefault="00893848" w:rsidP="00893848">
      <w:pPr>
        <w:pStyle w:val="ListParagraph"/>
        <w:numPr>
          <w:ilvl w:val="0"/>
          <w:numId w:val="5"/>
        </w:numPr>
        <w:rPr>
          <w:rFonts w:cs="Arial"/>
          <w:sz w:val="22"/>
          <w:szCs w:val="22"/>
        </w:rPr>
      </w:pPr>
      <w:proofErr w:type="spellStart"/>
      <w:r w:rsidRPr="004A73DA">
        <w:rPr>
          <w:rFonts w:cs="Arial"/>
          <w:sz w:val="22"/>
          <w:szCs w:val="22"/>
        </w:rPr>
        <w:t>Warmley</w:t>
      </w:r>
      <w:proofErr w:type="spellEnd"/>
      <w:r w:rsidRPr="004A73DA">
        <w:rPr>
          <w:rFonts w:cs="Arial"/>
          <w:sz w:val="22"/>
          <w:szCs w:val="22"/>
        </w:rPr>
        <w:t xml:space="preserve"> Park School – places for pupils with Severe Learning Difficulties (all ages but a focus on post 16)</w:t>
      </w:r>
    </w:p>
    <w:p w:rsidR="00893848" w:rsidRPr="004A73DA" w:rsidRDefault="00893848" w:rsidP="00893848">
      <w:pPr>
        <w:pStyle w:val="ListParagraph"/>
        <w:numPr>
          <w:ilvl w:val="0"/>
          <w:numId w:val="5"/>
        </w:numPr>
        <w:rPr>
          <w:rFonts w:cs="Arial"/>
          <w:sz w:val="22"/>
          <w:szCs w:val="22"/>
        </w:rPr>
      </w:pPr>
      <w:r w:rsidRPr="004A73DA">
        <w:rPr>
          <w:rFonts w:cs="Arial"/>
          <w:sz w:val="22"/>
          <w:szCs w:val="22"/>
        </w:rPr>
        <w:t xml:space="preserve">New </w:t>
      </w:r>
      <w:proofErr w:type="spellStart"/>
      <w:r w:rsidRPr="004A73DA">
        <w:rPr>
          <w:rFonts w:cs="Arial"/>
          <w:sz w:val="22"/>
          <w:szCs w:val="22"/>
        </w:rPr>
        <w:t>Siblands</w:t>
      </w:r>
      <w:proofErr w:type="spellEnd"/>
      <w:r w:rsidRPr="004A73DA">
        <w:rPr>
          <w:rFonts w:cs="Arial"/>
          <w:sz w:val="22"/>
          <w:szCs w:val="22"/>
        </w:rPr>
        <w:t xml:space="preserve"> School – places for pupils with Severe Learning Difficulties (nursery)</w:t>
      </w:r>
    </w:p>
    <w:p w:rsidR="00893848" w:rsidRPr="004A73DA" w:rsidRDefault="00893848" w:rsidP="00893848">
      <w:pPr>
        <w:pStyle w:val="ListParagraph"/>
        <w:numPr>
          <w:ilvl w:val="0"/>
          <w:numId w:val="5"/>
        </w:numPr>
        <w:rPr>
          <w:rFonts w:cs="Arial"/>
          <w:sz w:val="22"/>
          <w:szCs w:val="22"/>
        </w:rPr>
      </w:pPr>
      <w:proofErr w:type="spellStart"/>
      <w:r w:rsidRPr="004A73DA">
        <w:rPr>
          <w:rFonts w:cs="Arial"/>
          <w:sz w:val="22"/>
          <w:szCs w:val="22"/>
        </w:rPr>
        <w:t>Lyde</w:t>
      </w:r>
      <w:proofErr w:type="spellEnd"/>
      <w:r w:rsidRPr="004A73DA">
        <w:rPr>
          <w:rFonts w:cs="Arial"/>
          <w:sz w:val="22"/>
          <w:szCs w:val="22"/>
        </w:rPr>
        <w:t xml:space="preserve"> Green Unit – places for primary aged pupils with Severe Learning Difficulties (</w:t>
      </w:r>
      <w:r w:rsidR="008D1097" w:rsidRPr="004A73DA">
        <w:rPr>
          <w:rFonts w:cs="Arial"/>
          <w:sz w:val="22"/>
          <w:szCs w:val="22"/>
        </w:rPr>
        <w:t>Reception</w:t>
      </w:r>
      <w:r w:rsidRPr="004A73DA">
        <w:rPr>
          <w:rFonts w:cs="Arial"/>
          <w:sz w:val="22"/>
          <w:szCs w:val="22"/>
        </w:rPr>
        <w:t xml:space="preserve"> to Year 6)</w:t>
      </w:r>
    </w:p>
    <w:p w:rsidR="008D1097" w:rsidRPr="004A73DA" w:rsidRDefault="008D1097" w:rsidP="00893848">
      <w:pPr>
        <w:pStyle w:val="ListParagraph"/>
        <w:numPr>
          <w:ilvl w:val="0"/>
          <w:numId w:val="5"/>
        </w:numPr>
        <w:rPr>
          <w:rFonts w:cs="Arial"/>
          <w:sz w:val="22"/>
          <w:szCs w:val="22"/>
        </w:rPr>
      </w:pPr>
      <w:r w:rsidRPr="004A73DA">
        <w:rPr>
          <w:rFonts w:cs="Arial"/>
          <w:sz w:val="22"/>
          <w:szCs w:val="22"/>
        </w:rPr>
        <w:t>SGS Pegasus School – places for primary aged pupils with autism. The school will grow to cater for secondary and post 16 pupils</w:t>
      </w:r>
    </w:p>
    <w:p w:rsidR="008D1097" w:rsidRPr="004A73DA" w:rsidRDefault="008D1097" w:rsidP="00893848">
      <w:pPr>
        <w:pStyle w:val="ListParagraph"/>
        <w:numPr>
          <w:ilvl w:val="0"/>
          <w:numId w:val="5"/>
        </w:numPr>
        <w:rPr>
          <w:rFonts w:cs="Arial"/>
          <w:sz w:val="22"/>
          <w:szCs w:val="22"/>
        </w:rPr>
      </w:pPr>
      <w:r w:rsidRPr="004A73DA">
        <w:rPr>
          <w:rFonts w:cs="Arial"/>
          <w:sz w:val="22"/>
          <w:szCs w:val="22"/>
        </w:rPr>
        <w:t xml:space="preserve">New Free School for Severe Learning Difficulties aged 2 -19 </w:t>
      </w:r>
    </w:p>
    <w:p w:rsidR="008D1097" w:rsidRPr="004A73DA" w:rsidRDefault="008D1097" w:rsidP="008D1097">
      <w:pPr>
        <w:rPr>
          <w:rFonts w:cs="Arial"/>
          <w:sz w:val="22"/>
          <w:szCs w:val="22"/>
        </w:rPr>
      </w:pPr>
    </w:p>
    <w:p w:rsidR="008D1097" w:rsidRPr="004A73DA" w:rsidRDefault="008D1097" w:rsidP="008D1097">
      <w:pPr>
        <w:rPr>
          <w:rFonts w:cs="Arial"/>
          <w:sz w:val="22"/>
          <w:szCs w:val="22"/>
        </w:rPr>
      </w:pPr>
      <w:r w:rsidRPr="004A73DA">
        <w:rPr>
          <w:rFonts w:cs="Arial"/>
          <w:sz w:val="22"/>
          <w:szCs w:val="22"/>
        </w:rPr>
        <w:t xml:space="preserve">Ofsted judgements for all special schools are good or better and support the view that pupils achieve their potential and positive outcomes are delivered. </w:t>
      </w:r>
    </w:p>
    <w:p w:rsidR="008D1097" w:rsidRPr="004A73DA" w:rsidRDefault="008D1097" w:rsidP="008D1097">
      <w:pPr>
        <w:rPr>
          <w:rFonts w:cs="Arial"/>
          <w:sz w:val="22"/>
          <w:szCs w:val="22"/>
        </w:rPr>
      </w:pPr>
    </w:p>
    <w:p w:rsidR="00BC3252" w:rsidRPr="004A73DA" w:rsidRDefault="00BC3252" w:rsidP="005A1386">
      <w:pPr>
        <w:rPr>
          <w:rFonts w:cs="Arial"/>
          <w:sz w:val="22"/>
          <w:szCs w:val="22"/>
        </w:rPr>
      </w:pPr>
    </w:p>
    <w:p w:rsidR="00BC3252" w:rsidRPr="004A73DA" w:rsidRDefault="00BC3252" w:rsidP="005A1386">
      <w:pPr>
        <w:rPr>
          <w:rFonts w:cs="Arial"/>
          <w:sz w:val="22"/>
          <w:szCs w:val="22"/>
        </w:rPr>
      </w:pPr>
    </w:p>
    <w:p w:rsidR="002C334F" w:rsidRDefault="002C334F">
      <w:pPr>
        <w:rPr>
          <w:rFonts w:cs="Arial"/>
          <w:b/>
          <w:sz w:val="22"/>
          <w:szCs w:val="22"/>
        </w:rPr>
      </w:pPr>
      <w:r>
        <w:rPr>
          <w:rFonts w:cs="Arial"/>
          <w:b/>
          <w:sz w:val="22"/>
          <w:szCs w:val="22"/>
        </w:rPr>
        <w:br w:type="page"/>
      </w:r>
    </w:p>
    <w:p w:rsidR="00F93000" w:rsidRPr="002C334F" w:rsidRDefault="002C334F" w:rsidP="005A1386">
      <w:pPr>
        <w:rPr>
          <w:rFonts w:cs="Arial"/>
          <w:b/>
          <w:szCs w:val="24"/>
        </w:rPr>
      </w:pPr>
      <w:r w:rsidRPr="002C334F">
        <w:rPr>
          <w:rFonts w:cs="Arial"/>
          <w:b/>
          <w:szCs w:val="24"/>
        </w:rPr>
        <w:lastRenderedPageBreak/>
        <w:t>Consultation</w:t>
      </w:r>
    </w:p>
    <w:p w:rsidR="00643AEF" w:rsidRPr="004A73DA" w:rsidRDefault="00643AEF" w:rsidP="005A1386">
      <w:pPr>
        <w:rPr>
          <w:rFonts w:cs="Arial"/>
          <w:sz w:val="22"/>
          <w:szCs w:val="22"/>
        </w:rPr>
      </w:pPr>
    </w:p>
    <w:p w:rsidR="00F93000" w:rsidRPr="004A73DA" w:rsidRDefault="00F93000" w:rsidP="005A1386">
      <w:pPr>
        <w:rPr>
          <w:rFonts w:cs="Arial"/>
          <w:b/>
          <w:sz w:val="22"/>
          <w:szCs w:val="22"/>
        </w:rPr>
      </w:pPr>
    </w:p>
    <w:p w:rsidR="002C334F" w:rsidRPr="002C334F" w:rsidRDefault="002C334F">
      <w:pPr>
        <w:rPr>
          <w:rFonts w:cs="Arial"/>
          <w:szCs w:val="24"/>
        </w:rPr>
      </w:pPr>
      <w:r w:rsidRPr="002C334F">
        <w:rPr>
          <w:rFonts w:cs="Arial"/>
          <w:szCs w:val="24"/>
        </w:rPr>
        <w:t>The consultation</w:t>
      </w:r>
      <w:r w:rsidR="00325683">
        <w:rPr>
          <w:rFonts w:cs="Arial"/>
          <w:szCs w:val="24"/>
        </w:rPr>
        <w:t xml:space="preserve"> output report provides full details of the results and feedback received.  Additionally, this </w:t>
      </w:r>
      <w:proofErr w:type="spellStart"/>
      <w:r w:rsidR="00325683">
        <w:rPr>
          <w:rFonts w:cs="Arial"/>
          <w:szCs w:val="24"/>
        </w:rPr>
        <w:t>EqIAA</w:t>
      </w:r>
      <w:proofErr w:type="spellEnd"/>
      <w:r w:rsidR="00325683">
        <w:rPr>
          <w:rFonts w:cs="Arial"/>
          <w:szCs w:val="24"/>
        </w:rPr>
        <w:t xml:space="preserve"> notes that the consultation survey</w:t>
      </w:r>
      <w:r w:rsidRPr="002C334F">
        <w:rPr>
          <w:rFonts w:cs="Arial"/>
          <w:szCs w:val="24"/>
        </w:rPr>
        <w:t xml:space="preserve"> put forward a specific question regarding equalities</w:t>
      </w:r>
      <w:r w:rsidR="00325683">
        <w:rPr>
          <w:rFonts w:cs="Arial"/>
          <w:szCs w:val="24"/>
        </w:rPr>
        <w:t xml:space="preserve"> as follows</w:t>
      </w:r>
      <w:r w:rsidRPr="002C334F">
        <w:rPr>
          <w:rFonts w:cs="Arial"/>
          <w:szCs w:val="24"/>
        </w:rPr>
        <w:t>:</w:t>
      </w:r>
    </w:p>
    <w:p w:rsidR="002C334F" w:rsidRDefault="002C334F" w:rsidP="002C334F">
      <w:pPr>
        <w:rPr>
          <w:rFonts w:cs="Arial"/>
          <w:b/>
          <w:szCs w:val="24"/>
        </w:rPr>
      </w:pPr>
    </w:p>
    <w:p w:rsidR="002C334F" w:rsidRPr="002C334F" w:rsidRDefault="002C334F" w:rsidP="002C334F">
      <w:pPr>
        <w:rPr>
          <w:rFonts w:cs="Arial"/>
          <w:i/>
          <w:szCs w:val="24"/>
        </w:rPr>
      </w:pPr>
      <w:r w:rsidRPr="002C334F">
        <w:rPr>
          <w:rFonts w:cs="Arial"/>
          <w:i/>
          <w:szCs w:val="24"/>
        </w:rPr>
        <w:t>We want to ensure that all young people receive the support they need and achieve appropriate outcomes regardless of their background. Are there any points you would raise in respect of Gender, Race or Age or any other equalities related issue that you feel the Strategy should take account of?</w:t>
      </w:r>
    </w:p>
    <w:p w:rsidR="002C334F" w:rsidRPr="002C334F" w:rsidRDefault="002C334F" w:rsidP="002C334F">
      <w:pPr>
        <w:rPr>
          <w:rFonts w:cs="Arial"/>
          <w:szCs w:val="24"/>
        </w:rPr>
      </w:pPr>
    </w:p>
    <w:p w:rsidR="002C334F" w:rsidRPr="002C334F" w:rsidRDefault="002C334F" w:rsidP="002C334F">
      <w:pPr>
        <w:rPr>
          <w:rFonts w:cs="Arial"/>
          <w:szCs w:val="24"/>
        </w:rPr>
      </w:pPr>
      <w:r w:rsidRPr="002C334F">
        <w:rPr>
          <w:rFonts w:cs="Arial"/>
          <w:szCs w:val="24"/>
        </w:rPr>
        <w:t>The following responses were received</w:t>
      </w:r>
      <w:r w:rsidR="00325683">
        <w:rPr>
          <w:rFonts w:cs="Arial"/>
          <w:szCs w:val="24"/>
        </w:rPr>
        <w:t xml:space="preserve"> in response to this question</w:t>
      </w:r>
      <w:r w:rsidRPr="002C334F">
        <w:rPr>
          <w:rFonts w:cs="Arial"/>
          <w:szCs w:val="24"/>
        </w:rPr>
        <w:t>:</w:t>
      </w:r>
    </w:p>
    <w:p w:rsidR="002C334F" w:rsidRPr="002C334F" w:rsidRDefault="002C334F" w:rsidP="002C334F">
      <w:pPr>
        <w:rPr>
          <w:rFonts w:cs="Arial"/>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C334F" w:rsidRPr="002C334F" w:rsidTr="002C334F">
        <w:trPr>
          <w:trHeight w:val="300"/>
        </w:trPr>
        <w:tc>
          <w:tcPr>
            <w:tcW w:w="9781" w:type="dxa"/>
            <w:shd w:val="clear" w:color="auto" w:fill="auto"/>
            <w:noWrap/>
            <w:vAlign w:val="bottom"/>
            <w:hideMark/>
          </w:tcPr>
          <w:p w:rsidR="002C334F" w:rsidRPr="000516B1" w:rsidRDefault="002C334F" w:rsidP="000516B1">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Currently some service access criteria</w:t>
            </w:r>
            <w:r w:rsidR="000516B1">
              <w:rPr>
                <w:rFonts w:ascii="Calibri" w:eastAsia="Times New Roman" w:hAnsi="Calibri"/>
                <w:color w:val="000000"/>
                <w:sz w:val="22"/>
                <w:szCs w:val="22"/>
                <w:lang w:eastAsia="en-GB"/>
              </w:rPr>
              <w:t xml:space="preserve"> </w:t>
            </w:r>
            <w:proofErr w:type="gramStart"/>
            <w:r w:rsidR="000516B1">
              <w:rPr>
                <w:rFonts w:ascii="Calibri" w:eastAsia="Times New Roman" w:hAnsi="Calibri"/>
                <w:color w:val="000000"/>
                <w:sz w:val="22"/>
                <w:szCs w:val="22"/>
                <w:lang w:eastAsia="en-GB"/>
              </w:rPr>
              <w:t>is</w:t>
            </w:r>
            <w:proofErr w:type="gramEnd"/>
            <w:r w:rsidR="000516B1">
              <w:rPr>
                <w:rFonts w:ascii="Calibri" w:eastAsia="Times New Roman" w:hAnsi="Calibri"/>
                <w:color w:val="000000"/>
                <w:sz w:val="22"/>
                <w:szCs w:val="22"/>
                <w:lang w:eastAsia="en-GB"/>
              </w:rPr>
              <w:t xml:space="preserve"> discriminatory. See comments: </w:t>
            </w:r>
            <w:r w:rsidR="000516B1" w:rsidRPr="000516B1">
              <w:rPr>
                <w:rFonts w:asciiTheme="minorHAnsi" w:hAnsiTheme="minorHAnsi" w:cs="Arial"/>
                <w:color w:val="404040"/>
                <w:sz w:val="22"/>
                <w:szCs w:val="22"/>
              </w:rPr>
              <w:t xml:space="preserve">Families need to understand the criteria for services that are advertised in the local offer/SEND Pathways. Criteria must be clear, flexible enough to respond to need and not discriminate against particular groups </w:t>
            </w:r>
            <w:proofErr w:type="spellStart"/>
            <w:r w:rsidR="000516B1" w:rsidRPr="000516B1">
              <w:rPr>
                <w:rFonts w:asciiTheme="minorHAnsi" w:hAnsiTheme="minorHAnsi" w:cs="Arial"/>
                <w:color w:val="404040"/>
                <w:sz w:val="22"/>
                <w:szCs w:val="22"/>
              </w:rPr>
              <w:t>eg</w:t>
            </w:r>
            <w:proofErr w:type="spellEnd"/>
            <w:r w:rsidR="000516B1" w:rsidRPr="000516B1">
              <w:rPr>
                <w:rFonts w:asciiTheme="minorHAnsi" w:hAnsiTheme="minorHAnsi" w:cs="Arial"/>
                <w:color w:val="404040"/>
                <w:sz w:val="22"/>
                <w:szCs w:val="22"/>
              </w:rPr>
              <w:t xml:space="preserve"> access to 0-25 social care does not take into account the impact of acute mental health, attachment difficulties or undiagnosed conditions. Access to the 0-25 transition team is dependent on the family having a social worker and the child not having </w:t>
            </w:r>
            <w:proofErr w:type="spellStart"/>
            <w:r w:rsidR="000516B1" w:rsidRPr="000516B1">
              <w:rPr>
                <w:rFonts w:asciiTheme="minorHAnsi" w:hAnsiTheme="minorHAnsi" w:cs="Arial"/>
                <w:color w:val="404040"/>
                <w:sz w:val="22"/>
                <w:szCs w:val="22"/>
              </w:rPr>
              <w:t>SEMH</w:t>
            </w:r>
            <w:proofErr w:type="spellEnd"/>
            <w:r w:rsidR="000516B1" w:rsidRPr="000516B1">
              <w:rPr>
                <w:rFonts w:asciiTheme="minorHAnsi" w:hAnsiTheme="minorHAnsi" w:cs="Arial"/>
                <w:color w:val="404040"/>
                <w:sz w:val="22"/>
                <w:szCs w:val="22"/>
              </w:rPr>
              <w:t xml:space="preserve"> difficulties. Access to appropriate mental health support via </w:t>
            </w:r>
            <w:proofErr w:type="spellStart"/>
            <w:r w:rsidR="000516B1" w:rsidRPr="000516B1">
              <w:rPr>
                <w:rFonts w:asciiTheme="minorHAnsi" w:hAnsiTheme="minorHAnsi" w:cs="Arial"/>
                <w:color w:val="404040"/>
                <w:sz w:val="22"/>
                <w:szCs w:val="22"/>
              </w:rPr>
              <w:t>CAMHS</w:t>
            </w:r>
            <w:proofErr w:type="spellEnd"/>
            <w:r w:rsidR="000516B1" w:rsidRPr="000516B1">
              <w:rPr>
                <w:rFonts w:asciiTheme="minorHAnsi" w:hAnsiTheme="minorHAnsi" w:cs="Arial"/>
                <w:color w:val="404040"/>
                <w:sz w:val="22"/>
                <w:szCs w:val="22"/>
              </w:rPr>
              <w:t xml:space="preserve"> </w:t>
            </w:r>
            <w:proofErr w:type="spellStart"/>
            <w:r w:rsidR="000516B1" w:rsidRPr="000516B1">
              <w:rPr>
                <w:rFonts w:asciiTheme="minorHAnsi" w:hAnsiTheme="minorHAnsi" w:cs="Arial"/>
                <w:color w:val="404040"/>
                <w:sz w:val="22"/>
                <w:szCs w:val="22"/>
              </w:rPr>
              <w:t>LDT</w:t>
            </w:r>
            <w:proofErr w:type="spellEnd"/>
            <w:r w:rsidR="000516B1" w:rsidRPr="000516B1">
              <w:rPr>
                <w:rFonts w:asciiTheme="minorHAnsi" w:hAnsiTheme="minorHAnsi" w:cs="Arial"/>
                <w:color w:val="404040"/>
                <w:sz w:val="22"/>
                <w:szCs w:val="22"/>
              </w:rPr>
              <w:t xml:space="preserve"> requires an IQ of less than 50!”)</w:t>
            </w:r>
            <w:r w:rsidR="000516B1">
              <w:rPr>
                <w:rFonts w:asciiTheme="minorHAnsi" w:hAnsiTheme="minorHAnsi" w:cs="Arial"/>
                <w:color w:val="404040"/>
                <w:sz w:val="22"/>
                <w:szCs w:val="22"/>
              </w:rPr>
              <w:t xml:space="preserve">. </w:t>
            </w:r>
            <w:r w:rsidRPr="000516B1">
              <w:rPr>
                <w:rFonts w:ascii="Calibri" w:eastAsia="Times New Roman" w:hAnsi="Calibri"/>
                <w:color w:val="000000"/>
                <w:sz w:val="22"/>
                <w:szCs w:val="22"/>
                <w:lang w:eastAsia="en-GB"/>
              </w:rPr>
              <w:t>This needs to be addressed.</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It is crucial that all Parents/ Carers are given appropriate information in a timely way about support being offered. This needs to be made accessible to all in different formats,</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It’s only those who have caring proactive parents who will ever be able to get the help and support they need</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 xml:space="preserve">Children with a recognised private diagnosis should be accepted and treated the same as if it were by the </w:t>
            </w:r>
            <w:proofErr w:type="gramStart"/>
            <w:r w:rsidRPr="002C334F">
              <w:rPr>
                <w:rFonts w:ascii="Calibri" w:eastAsia="Times New Roman" w:hAnsi="Calibri"/>
                <w:color w:val="000000"/>
                <w:sz w:val="22"/>
                <w:szCs w:val="22"/>
                <w:lang w:eastAsia="en-GB"/>
              </w:rPr>
              <w:t>NHS,</w:t>
            </w:r>
            <w:proofErr w:type="gramEnd"/>
            <w:r w:rsidRPr="002C334F">
              <w:rPr>
                <w:rFonts w:ascii="Calibri" w:eastAsia="Times New Roman" w:hAnsi="Calibri"/>
                <w:color w:val="000000"/>
                <w:sz w:val="22"/>
                <w:szCs w:val="22"/>
                <w:lang w:eastAsia="en-GB"/>
              </w:rPr>
              <w:t xml:space="preserve"> surely this would take pressure off the system and get things moving as a whole system quicker.</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Access to life skills training for young people who pursue a higher level academic route post 16 yet still need support in this area</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It would be good to promote equity rather than equality, some SEND children/young people will need more support than others to achieve the same things so an equitable chance is fairer than an equal chance.</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Equalities and diversity awareness needed in all schools and inclusion policies implemented</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Children who come from vulnerable families need help sign posting. not all parents will scream and shout if they get left behind</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 xml:space="preserve">Schools often focus on FSM, gender and race and look for trends within these groups. Within my own setting the biggest barrier for all children but especially for those with SEN/D is the experience of trauma - children who have been on the CP register or who have high ACE scores consistently miss their targets and if they also have SEN/D outcomes are even worse. How do we help children who live in chaotic circumstances to have a voice and who will speak for them if their parents will not. My own setting is not a 'typical' South </w:t>
            </w:r>
            <w:proofErr w:type="spellStart"/>
            <w:r w:rsidRPr="002C334F">
              <w:rPr>
                <w:rFonts w:ascii="Calibri" w:eastAsia="Times New Roman" w:hAnsi="Calibri"/>
                <w:color w:val="000000"/>
                <w:sz w:val="22"/>
                <w:szCs w:val="22"/>
                <w:lang w:eastAsia="en-GB"/>
              </w:rPr>
              <w:t>Glos</w:t>
            </w:r>
            <w:proofErr w:type="spellEnd"/>
            <w:r w:rsidRPr="002C334F">
              <w:rPr>
                <w:rFonts w:ascii="Calibri" w:eastAsia="Times New Roman" w:hAnsi="Calibri"/>
                <w:color w:val="000000"/>
                <w:sz w:val="22"/>
                <w:szCs w:val="22"/>
                <w:lang w:eastAsia="en-GB"/>
              </w:rPr>
              <w:t xml:space="preserve"> school but there are others like us who work in deprived areas and work with children who do not receive the support they deserve because their parents can't or won't engage in the system. These children often fail. I'm not sure the draft strategy addresses this group.</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I agree with your views</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 xml:space="preserve">Age: support peters out from year 11 onwards.  There is little support for most SEND </w:t>
            </w:r>
            <w:proofErr w:type="spellStart"/>
            <w:r w:rsidRPr="002C334F">
              <w:rPr>
                <w:rFonts w:ascii="Calibri" w:eastAsia="Times New Roman" w:hAnsi="Calibri"/>
                <w:color w:val="000000"/>
                <w:sz w:val="22"/>
                <w:szCs w:val="22"/>
                <w:lang w:eastAsia="en-GB"/>
              </w:rPr>
              <w:t>YP</w:t>
            </w:r>
            <w:proofErr w:type="spellEnd"/>
            <w:r w:rsidRPr="002C334F">
              <w:rPr>
                <w:rFonts w:ascii="Calibri" w:eastAsia="Times New Roman" w:hAnsi="Calibri"/>
                <w:color w:val="000000"/>
                <w:sz w:val="22"/>
                <w:szCs w:val="22"/>
                <w:lang w:eastAsia="en-GB"/>
              </w:rPr>
              <w:t xml:space="preserve"> as they </w:t>
            </w:r>
            <w:r w:rsidR="0028040C">
              <w:rPr>
                <w:rFonts w:ascii="Calibri" w:eastAsia="Times New Roman" w:hAnsi="Calibri"/>
                <w:color w:val="000000"/>
                <w:sz w:val="22"/>
                <w:szCs w:val="22"/>
                <w:lang w:eastAsia="en-GB"/>
              </w:rPr>
              <w:t>look towards post-16 options.  T</w:t>
            </w:r>
            <w:r w:rsidRPr="002C334F">
              <w:rPr>
                <w:rFonts w:ascii="Calibri" w:eastAsia="Times New Roman" w:hAnsi="Calibri"/>
                <w:color w:val="000000"/>
                <w:sz w:val="22"/>
                <w:szCs w:val="22"/>
                <w:lang w:eastAsia="en-GB"/>
              </w:rPr>
              <w:t xml:space="preserve">here is no proper support for many </w:t>
            </w:r>
            <w:proofErr w:type="spellStart"/>
            <w:r w:rsidRPr="002C334F">
              <w:rPr>
                <w:rFonts w:ascii="Calibri" w:eastAsia="Times New Roman" w:hAnsi="Calibri"/>
                <w:color w:val="000000"/>
                <w:sz w:val="22"/>
                <w:szCs w:val="22"/>
                <w:lang w:eastAsia="en-GB"/>
              </w:rPr>
              <w:t>SEMH</w:t>
            </w:r>
            <w:proofErr w:type="spellEnd"/>
            <w:r w:rsidRPr="002C334F">
              <w:rPr>
                <w:rFonts w:ascii="Calibri" w:eastAsia="Times New Roman" w:hAnsi="Calibri"/>
                <w:color w:val="000000"/>
                <w:sz w:val="22"/>
                <w:szCs w:val="22"/>
                <w:lang w:eastAsia="en-GB"/>
              </w:rPr>
              <w:t xml:space="preserve"> </w:t>
            </w:r>
            <w:proofErr w:type="spellStart"/>
            <w:r w:rsidRPr="002C334F">
              <w:rPr>
                <w:rFonts w:ascii="Calibri" w:eastAsia="Times New Roman" w:hAnsi="Calibri"/>
                <w:color w:val="000000"/>
                <w:sz w:val="22"/>
                <w:szCs w:val="22"/>
                <w:lang w:eastAsia="en-GB"/>
              </w:rPr>
              <w:t>YP</w:t>
            </w:r>
            <w:proofErr w:type="spellEnd"/>
            <w:r w:rsidRPr="002C334F">
              <w:rPr>
                <w:rFonts w:ascii="Calibri" w:eastAsia="Times New Roman" w:hAnsi="Calibri"/>
                <w:color w:val="000000"/>
                <w:sz w:val="22"/>
                <w:szCs w:val="22"/>
                <w:lang w:eastAsia="en-GB"/>
              </w:rPr>
              <w:t xml:space="preserve"> for post-16 education.  There is some post-16 support/educational establishments for certain severe SEND </w:t>
            </w:r>
            <w:proofErr w:type="spellStart"/>
            <w:r w:rsidRPr="002C334F">
              <w:rPr>
                <w:rFonts w:ascii="Calibri" w:eastAsia="Times New Roman" w:hAnsi="Calibri"/>
                <w:color w:val="000000"/>
                <w:sz w:val="22"/>
                <w:szCs w:val="22"/>
                <w:lang w:eastAsia="en-GB"/>
              </w:rPr>
              <w:t>YP</w:t>
            </w:r>
            <w:proofErr w:type="spellEnd"/>
            <w:r w:rsidRPr="002C334F">
              <w:rPr>
                <w:rFonts w:ascii="Calibri" w:eastAsia="Times New Roman" w:hAnsi="Calibri"/>
                <w:color w:val="000000"/>
                <w:sz w:val="22"/>
                <w:szCs w:val="22"/>
                <w:lang w:eastAsia="en-GB"/>
              </w:rPr>
              <w:t xml:space="preserve">. But, as I've said before, where </w:t>
            </w:r>
            <w:proofErr w:type="gramStart"/>
            <w:r w:rsidRPr="002C334F">
              <w:rPr>
                <w:rFonts w:ascii="Calibri" w:eastAsia="Times New Roman" w:hAnsi="Calibri"/>
                <w:color w:val="000000"/>
                <w:sz w:val="22"/>
                <w:szCs w:val="22"/>
                <w:lang w:eastAsia="en-GB"/>
              </w:rPr>
              <w:t>do</w:t>
            </w:r>
            <w:proofErr w:type="gramEnd"/>
            <w:r w:rsidRPr="002C334F">
              <w:rPr>
                <w:rFonts w:ascii="Calibri" w:eastAsia="Times New Roman" w:hAnsi="Calibri"/>
                <w:color w:val="000000"/>
                <w:sz w:val="22"/>
                <w:szCs w:val="22"/>
                <w:lang w:eastAsia="en-GB"/>
              </w:rPr>
              <w:t xml:space="preserve"> your post-16 </w:t>
            </w:r>
            <w:proofErr w:type="spellStart"/>
            <w:r w:rsidRPr="002C334F">
              <w:rPr>
                <w:rFonts w:ascii="Calibri" w:eastAsia="Times New Roman" w:hAnsi="Calibri"/>
                <w:color w:val="000000"/>
                <w:sz w:val="22"/>
                <w:szCs w:val="22"/>
                <w:lang w:eastAsia="en-GB"/>
              </w:rPr>
              <w:t>SEMH</w:t>
            </w:r>
            <w:proofErr w:type="spellEnd"/>
            <w:r w:rsidRPr="002C334F">
              <w:rPr>
                <w:rFonts w:ascii="Calibri" w:eastAsia="Times New Roman" w:hAnsi="Calibri"/>
                <w:color w:val="000000"/>
                <w:sz w:val="22"/>
                <w:szCs w:val="22"/>
                <w:lang w:eastAsia="en-GB"/>
              </w:rPr>
              <w:t xml:space="preserve"> kids end up?  And this all needs to be up to 25.  I don't see anything for that age group unless they have severe SEND.  Where is the support for housing? Transition to adult services?</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This should tie in with a National Strategy, if one exists, and consider sharing resources with neighbouring councils or National authorities where appropriate.</w:t>
            </w:r>
          </w:p>
        </w:tc>
      </w:tr>
      <w:tr w:rsidR="002C334F" w:rsidRPr="002C334F" w:rsidTr="002C334F">
        <w:trPr>
          <w:trHeight w:val="300"/>
        </w:trPr>
        <w:tc>
          <w:tcPr>
            <w:tcW w:w="9781" w:type="dxa"/>
            <w:shd w:val="clear" w:color="auto" w:fill="auto"/>
            <w:noWrap/>
            <w:vAlign w:val="bottom"/>
            <w:hideMark/>
          </w:tcPr>
          <w:p w:rsidR="002C334F" w:rsidRPr="002C334F" w:rsidRDefault="002C334F" w:rsidP="002C334F">
            <w:pPr>
              <w:pStyle w:val="ListParagraph"/>
              <w:numPr>
                <w:ilvl w:val="0"/>
                <w:numId w:val="7"/>
              </w:numPr>
              <w:rPr>
                <w:rFonts w:ascii="Calibri" w:eastAsia="Times New Roman" w:hAnsi="Calibri"/>
                <w:color w:val="000000"/>
                <w:sz w:val="22"/>
                <w:szCs w:val="22"/>
                <w:lang w:eastAsia="en-GB"/>
              </w:rPr>
            </w:pPr>
            <w:r w:rsidRPr="002C334F">
              <w:rPr>
                <w:rFonts w:ascii="Calibri" w:eastAsia="Times New Roman" w:hAnsi="Calibri"/>
                <w:color w:val="000000"/>
                <w:sz w:val="22"/>
                <w:szCs w:val="22"/>
                <w:lang w:eastAsia="en-GB"/>
              </w:rPr>
              <w:t xml:space="preserve">As noted under </w:t>
            </w:r>
            <w:proofErr w:type="spellStart"/>
            <w:r w:rsidRPr="002C334F">
              <w:rPr>
                <w:rFonts w:ascii="Calibri" w:eastAsia="Times New Roman" w:hAnsi="Calibri"/>
                <w:color w:val="000000"/>
                <w:sz w:val="22"/>
                <w:szCs w:val="22"/>
                <w:lang w:eastAsia="en-GB"/>
              </w:rPr>
              <w:t>Q10</w:t>
            </w:r>
            <w:proofErr w:type="spellEnd"/>
            <w:r w:rsidRPr="002C334F">
              <w:rPr>
                <w:rFonts w:ascii="Calibri" w:eastAsia="Times New Roman" w:hAnsi="Calibri"/>
                <w:color w:val="000000"/>
                <w:sz w:val="22"/>
                <w:szCs w:val="22"/>
                <w:lang w:eastAsia="en-GB"/>
              </w:rPr>
              <w:t xml:space="preserve">, consideration needs to be given to parents who are unable to access information </w:t>
            </w:r>
            <w:r w:rsidRPr="002C334F">
              <w:rPr>
                <w:rFonts w:ascii="Calibri" w:eastAsia="Times New Roman" w:hAnsi="Calibri"/>
                <w:color w:val="000000"/>
                <w:sz w:val="22"/>
                <w:szCs w:val="22"/>
                <w:lang w:eastAsia="en-GB"/>
              </w:rPr>
              <w:lastRenderedPageBreak/>
              <w:t>on the internet or who are not able to read information in English.</w:t>
            </w:r>
          </w:p>
        </w:tc>
      </w:tr>
    </w:tbl>
    <w:p w:rsidR="002C334F" w:rsidRDefault="002C334F">
      <w:pPr>
        <w:rPr>
          <w:rFonts w:cs="Arial"/>
          <w:b/>
          <w:szCs w:val="24"/>
        </w:rPr>
      </w:pPr>
    </w:p>
    <w:p w:rsidR="00BC3252" w:rsidRDefault="00BC3252">
      <w:pPr>
        <w:rPr>
          <w:rFonts w:cs="Arial"/>
          <w:b/>
          <w:szCs w:val="24"/>
        </w:rPr>
      </w:pPr>
      <w:r>
        <w:rPr>
          <w:rFonts w:cs="Arial"/>
          <w:b/>
          <w:szCs w:val="24"/>
        </w:rPr>
        <w:br w:type="page"/>
      </w:r>
    </w:p>
    <w:p w:rsidR="005A1386" w:rsidRPr="00D875CD" w:rsidRDefault="005A1386" w:rsidP="005A1386">
      <w:pPr>
        <w:rPr>
          <w:rFonts w:eastAsia="Times New Roman" w:cs="Arial"/>
          <w:b/>
          <w:sz w:val="28"/>
          <w:szCs w:val="28"/>
          <w:lang w:eastAsia="en-GB"/>
        </w:rPr>
      </w:pPr>
      <w:r w:rsidRPr="00D875CD">
        <w:rPr>
          <w:rFonts w:cs="Arial"/>
          <w:b/>
          <w:sz w:val="28"/>
          <w:szCs w:val="28"/>
        </w:rPr>
        <w:lastRenderedPageBreak/>
        <w:t>SECTION 3 - IDENTIFICATION &amp; ANALYSIS OF EQUALITIES ISSUES AND IMPACTS</w:t>
      </w:r>
    </w:p>
    <w:p w:rsidR="005A1386" w:rsidRPr="004A73DA" w:rsidRDefault="005A1386" w:rsidP="005A1386">
      <w:pPr>
        <w:rPr>
          <w:rFonts w:eastAsia="Times New Roman" w:cs="Arial"/>
          <w:sz w:val="22"/>
          <w:szCs w:val="22"/>
          <w:lang w:eastAsia="en-GB"/>
        </w:rPr>
      </w:pPr>
    </w:p>
    <w:p w:rsidR="002C6CE4" w:rsidRDefault="002C6CE4" w:rsidP="002C6CE4">
      <w:pPr>
        <w:rPr>
          <w:rFonts w:cs="Arial"/>
          <w:sz w:val="22"/>
          <w:szCs w:val="22"/>
        </w:rPr>
      </w:pPr>
      <w:r>
        <w:rPr>
          <w:rFonts w:cs="Arial"/>
          <w:sz w:val="22"/>
          <w:szCs w:val="22"/>
        </w:rPr>
        <w:t>In respect of the consultation feedback received, the following table provides a response to each point:</w:t>
      </w:r>
    </w:p>
    <w:p w:rsidR="002C6CE4" w:rsidRPr="002C334F" w:rsidRDefault="002C6CE4" w:rsidP="002C6CE4">
      <w:pPr>
        <w:rPr>
          <w:rFonts w:cs="Arial"/>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90"/>
      </w:tblGrid>
      <w:tr w:rsidR="002C6CE4" w:rsidRPr="002C334F" w:rsidTr="006F4EF7">
        <w:trPr>
          <w:trHeight w:val="300"/>
        </w:trPr>
        <w:tc>
          <w:tcPr>
            <w:tcW w:w="4962" w:type="dxa"/>
            <w:shd w:val="clear" w:color="auto" w:fill="BFBFBF" w:themeFill="background1" w:themeFillShade="BF"/>
            <w:noWrap/>
            <w:vAlign w:val="bottom"/>
          </w:tcPr>
          <w:p w:rsidR="002C6CE4" w:rsidRDefault="002C6CE4" w:rsidP="002C6CE4">
            <w:pPr>
              <w:jc w:val="center"/>
              <w:rPr>
                <w:rFonts w:eastAsia="Times New Roman" w:cs="Arial"/>
                <w:b/>
                <w:color w:val="000000"/>
                <w:sz w:val="22"/>
                <w:szCs w:val="22"/>
                <w:lang w:eastAsia="en-GB"/>
              </w:rPr>
            </w:pPr>
            <w:r w:rsidRPr="002C334F">
              <w:rPr>
                <w:rFonts w:eastAsia="Times New Roman" w:cs="Arial"/>
                <w:b/>
                <w:color w:val="000000"/>
                <w:sz w:val="22"/>
                <w:szCs w:val="22"/>
                <w:lang w:eastAsia="en-GB"/>
              </w:rPr>
              <w:t>Feedback Received</w:t>
            </w:r>
          </w:p>
          <w:p w:rsidR="002C6CE4" w:rsidRPr="002C334F" w:rsidRDefault="002C6CE4" w:rsidP="002C6CE4">
            <w:pPr>
              <w:jc w:val="center"/>
              <w:rPr>
                <w:rFonts w:eastAsia="Times New Roman" w:cs="Arial"/>
                <w:b/>
                <w:color w:val="000000"/>
                <w:sz w:val="22"/>
                <w:szCs w:val="22"/>
                <w:lang w:eastAsia="en-GB"/>
              </w:rPr>
            </w:pPr>
          </w:p>
        </w:tc>
        <w:tc>
          <w:tcPr>
            <w:tcW w:w="4990" w:type="dxa"/>
            <w:shd w:val="clear" w:color="auto" w:fill="BFBFBF" w:themeFill="background1" w:themeFillShade="BF"/>
          </w:tcPr>
          <w:p w:rsidR="002C6CE4" w:rsidRPr="002C334F" w:rsidRDefault="002C6CE4" w:rsidP="002C6CE4">
            <w:pPr>
              <w:jc w:val="center"/>
              <w:rPr>
                <w:rFonts w:eastAsia="Times New Roman" w:cs="Arial"/>
                <w:b/>
                <w:color w:val="000000"/>
                <w:sz w:val="22"/>
                <w:szCs w:val="22"/>
                <w:lang w:eastAsia="en-GB"/>
              </w:rPr>
            </w:pPr>
            <w:r w:rsidRPr="002C334F">
              <w:rPr>
                <w:rFonts w:eastAsia="Times New Roman" w:cs="Arial"/>
                <w:b/>
                <w:color w:val="000000"/>
                <w:sz w:val="22"/>
                <w:szCs w:val="22"/>
                <w:lang w:eastAsia="en-GB"/>
              </w:rPr>
              <w:t>Response</w:t>
            </w: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 xml:space="preserve">Currently some </w:t>
            </w:r>
            <w:r w:rsidR="00CD6837">
              <w:rPr>
                <w:rFonts w:eastAsia="Times New Roman" w:cs="Arial"/>
                <w:color w:val="000000"/>
                <w:sz w:val="22"/>
                <w:szCs w:val="22"/>
                <w:lang w:eastAsia="en-GB"/>
              </w:rPr>
              <w:t xml:space="preserve">mental health </w:t>
            </w:r>
            <w:r w:rsidRPr="002C334F">
              <w:rPr>
                <w:rFonts w:eastAsia="Times New Roman" w:cs="Arial"/>
                <w:color w:val="000000"/>
                <w:sz w:val="22"/>
                <w:szCs w:val="22"/>
                <w:lang w:eastAsia="en-GB"/>
              </w:rPr>
              <w:t>service</w:t>
            </w:r>
            <w:r w:rsidR="00CD6837">
              <w:rPr>
                <w:rFonts w:eastAsia="Times New Roman" w:cs="Arial"/>
                <w:color w:val="000000"/>
                <w:sz w:val="22"/>
                <w:szCs w:val="22"/>
                <w:lang w:eastAsia="en-GB"/>
              </w:rPr>
              <w:t>s</w:t>
            </w:r>
            <w:r w:rsidRPr="002C334F">
              <w:rPr>
                <w:rFonts w:eastAsia="Times New Roman" w:cs="Arial"/>
                <w:color w:val="000000"/>
                <w:sz w:val="22"/>
                <w:szCs w:val="22"/>
                <w:lang w:eastAsia="en-GB"/>
              </w:rPr>
              <w:t xml:space="preserve"> ac</w:t>
            </w:r>
            <w:r w:rsidR="00CD6837">
              <w:rPr>
                <w:rFonts w:eastAsia="Times New Roman" w:cs="Arial"/>
                <w:color w:val="000000"/>
                <w:sz w:val="22"/>
                <w:szCs w:val="22"/>
                <w:lang w:eastAsia="en-GB"/>
              </w:rPr>
              <w:t xml:space="preserve">cess criteria </w:t>
            </w:r>
            <w:proofErr w:type="gramStart"/>
            <w:r w:rsidR="00CD6837">
              <w:rPr>
                <w:rFonts w:eastAsia="Times New Roman" w:cs="Arial"/>
                <w:color w:val="000000"/>
                <w:sz w:val="22"/>
                <w:szCs w:val="22"/>
                <w:lang w:eastAsia="en-GB"/>
              </w:rPr>
              <w:t>is</w:t>
            </w:r>
            <w:proofErr w:type="gramEnd"/>
            <w:r w:rsidR="00CD6837">
              <w:rPr>
                <w:rFonts w:eastAsia="Times New Roman" w:cs="Arial"/>
                <w:color w:val="000000"/>
                <w:sz w:val="22"/>
                <w:szCs w:val="22"/>
                <w:lang w:eastAsia="en-GB"/>
              </w:rPr>
              <w:t xml:space="preserve"> discriminatory</w:t>
            </w:r>
            <w:r w:rsidRPr="002C334F">
              <w:rPr>
                <w:rFonts w:eastAsia="Times New Roman" w:cs="Arial"/>
                <w:color w:val="000000"/>
                <w:sz w:val="22"/>
                <w:szCs w:val="22"/>
                <w:lang w:eastAsia="en-GB"/>
              </w:rPr>
              <w:t>. This needs to be addressed.</w:t>
            </w:r>
          </w:p>
          <w:p w:rsidR="00DC7394" w:rsidRDefault="00DC7394" w:rsidP="00DF1E40">
            <w:pPr>
              <w:rPr>
                <w:rFonts w:eastAsia="Times New Roman" w:cs="Arial"/>
                <w:color w:val="000000"/>
                <w:sz w:val="22"/>
                <w:szCs w:val="22"/>
                <w:lang w:eastAsia="en-GB"/>
              </w:rPr>
            </w:pPr>
          </w:p>
          <w:p w:rsidR="00DC7394" w:rsidRPr="002C334F" w:rsidRDefault="00DC7394" w:rsidP="00DF1E40">
            <w:pPr>
              <w:rPr>
                <w:rFonts w:eastAsia="Times New Roman" w:cs="Arial"/>
                <w:color w:val="000000"/>
                <w:sz w:val="22"/>
                <w:szCs w:val="22"/>
                <w:lang w:eastAsia="en-GB"/>
              </w:rPr>
            </w:pPr>
          </w:p>
        </w:tc>
        <w:tc>
          <w:tcPr>
            <w:tcW w:w="4990" w:type="dxa"/>
          </w:tcPr>
          <w:p w:rsidR="0086074B" w:rsidRDefault="0086074B" w:rsidP="0086074B">
            <w:pPr>
              <w:rPr>
                <w:rFonts w:eastAsia="Times New Roman" w:cs="Arial"/>
                <w:color w:val="000000"/>
                <w:sz w:val="22"/>
                <w:szCs w:val="22"/>
                <w:lang w:eastAsia="en-GB"/>
              </w:rPr>
            </w:pPr>
            <w:r>
              <w:rPr>
                <w:rFonts w:eastAsia="Times New Roman" w:cs="Arial"/>
                <w:color w:val="000000"/>
                <w:sz w:val="22"/>
                <w:szCs w:val="22"/>
                <w:lang w:eastAsia="en-GB"/>
              </w:rPr>
              <w:t xml:space="preserve">This is an important point </w:t>
            </w:r>
            <w:r w:rsidR="00DC7394">
              <w:rPr>
                <w:rFonts w:eastAsia="Times New Roman" w:cs="Arial"/>
                <w:color w:val="000000"/>
                <w:sz w:val="22"/>
                <w:szCs w:val="22"/>
                <w:lang w:eastAsia="en-GB"/>
              </w:rPr>
              <w:t xml:space="preserve">which relates to </w:t>
            </w:r>
            <w:r>
              <w:rPr>
                <w:rFonts w:eastAsia="Times New Roman" w:cs="Arial"/>
                <w:color w:val="000000"/>
                <w:sz w:val="22"/>
                <w:szCs w:val="22"/>
                <w:lang w:eastAsia="en-GB"/>
              </w:rPr>
              <w:t>mental health services.</w:t>
            </w:r>
          </w:p>
          <w:p w:rsidR="002C6CE4" w:rsidRDefault="0086074B" w:rsidP="00DC7394">
            <w:pPr>
              <w:rPr>
                <w:rFonts w:eastAsia="Times New Roman" w:cs="Arial"/>
                <w:color w:val="000000"/>
                <w:sz w:val="22"/>
                <w:szCs w:val="22"/>
                <w:lang w:eastAsia="en-GB"/>
              </w:rPr>
            </w:pPr>
            <w:r>
              <w:rPr>
                <w:rFonts w:eastAsia="Times New Roman" w:cs="Arial"/>
                <w:color w:val="000000"/>
                <w:sz w:val="22"/>
                <w:szCs w:val="22"/>
                <w:lang w:eastAsia="en-GB"/>
              </w:rPr>
              <w:t xml:space="preserve">Services are working together to </w:t>
            </w:r>
            <w:r w:rsidR="00DC7394">
              <w:rPr>
                <w:rFonts w:eastAsia="Times New Roman" w:cs="Arial"/>
                <w:color w:val="000000"/>
                <w:sz w:val="22"/>
                <w:szCs w:val="22"/>
                <w:lang w:eastAsia="en-GB"/>
              </w:rPr>
              <w:t>assess</w:t>
            </w:r>
            <w:r>
              <w:rPr>
                <w:rFonts w:eastAsia="Times New Roman" w:cs="Arial"/>
                <w:color w:val="000000"/>
                <w:sz w:val="22"/>
                <w:szCs w:val="22"/>
                <w:lang w:eastAsia="en-GB"/>
              </w:rPr>
              <w:t xml:space="preserve"> </w:t>
            </w:r>
            <w:r w:rsidR="006C796C">
              <w:rPr>
                <w:rFonts w:eastAsia="Times New Roman" w:cs="Arial"/>
                <w:color w:val="000000"/>
                <w:sz w:val="22"/>
                <w:szCs w:val="22"/>
                <w:lang w:eastAsia="en-GB"/>
              </w:rPr>
              <w:t xml:space="preserve">their </w:t>
            </w:r>
            <w:r>
              <w:rPr>
                <w:rFonts w:eastAsia="Times New Roman" w:cs="Arial"/>
                <w:color w:val="000000"/>
                <w:sz w:val="22"/>
                <w:szCs w:val="22"/>
                <w:lang w:eastAsia="en-GB"/>
              </w:rPr>
              <w:t xml:space="preserve">thresholds and criteria to ensure that they </w:t>
            </w:r>
            <w:r w:rsidR="00DC7394">
              <w:rPr>
                <w:rFonts w:eastAsia="Times New Roman" w:cs="Arial"/>
                <w:color w:val="000000"/>
                <w:sz w:val="22"/>
                <w:szCs w:val="22"/>
                <w:lang w:eastAsia="en-GB"/>
              </w:rPr>
              <w:t xml:space="preserve">are not </w:t>
            </w:r>
            <w:r>
              <w:rPr>
                <w:rFonts w:eastAsia="Times New Roman" w:cs="Arial"/>
                <w:color w:val="000000"/>
                <w:sz w:val="22"/>
                <w:szCs w:val="22"/>
                <w:lang w:eastAsia="en-GB"/>
              </w:rPr>
              <w:t>discriminat</w:t>
            </w:r>
            <w:r w:rsidR="00DC7394">
              <w:rPr>
                <w:rFonts w:eastAsia="Times New Roman" w:cs="Arial"/>
                <w:color w:val="000000"/>
                <w:sz w:val="22"/>
                <w:szCs w:val="22"/>
                <w:lang w:eastAsia="en-GB"/>
              </w:rPr>
              <w:t>ory in any respect</w:t>
            </w:r>
            <w:r>
              <w:rPr>
                <w:rFonts w:eastAsia="Times New Roman" w:cs="Arial"/>
                <w:color w:val="000000"/>
                <w:sz w:val="22"/>
                <w:szCs w:val="22"/>
                <w:lang w:eastAsia="en-GB"/>
              </w:rPr>
              <w:t xml:space="preserve"> and any </w:t>
            </w:r>
            <w:r w:rsidR="00DC7394">
              <w:rPr>
                <w:rFonts w:eastAsia="Times New Roman" w:cs="Arial"/>
                <w:color w:val="000000"/>
                <w:sz w:val="22"/>
                <w:szCs w:val="22"/>
                <w:lang w:eastAsia="en-GB"/>
              </w:rPr>
              <w:t xml:space="preserve">address any </w:t>
            </w:r>
            <w:r>
              <w:rPr>
                <w:rFonts w:eastAsia="Times New Roman" w:cs="Arial"/>
                <w:color w:val="000000"/>
                <w:sz w:val="22"/>
                <w:szCs w:val="22"/>
                <w:lang w:eastAsia="en-GB"/>
              </w:rPr>
              <w:t xml:space="preserve">gaps identified.  </w:t>
            </w:r>
          </w:p>
          <w:p w:rsidR="00DC7394" w:rsidRPr="002C334F" w:rsidRDefault="00DC7394" w:rsidP="00DC7394">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It is crucial that all Parents/ Carers are given appropriate information in a timely way about support being offered. This needs to be made accessible to all in different formats,</w:t>
            </w:r>
          </w:p>
          <w:p w:rsidR="00DC7394" w:rsidRPr="002C334F" w:rsidRDefault="00DC7394" w:rsidP="00DF1E40">
            <w:pPr>
              <w:rPr>
                <w:rFonts w:eastAsia="Times New Roman" w:cs="Arial"/>
                <w:color w:val="000000"/>
                <w:sz w:val="22"/>
                <w:szCs w:val="22"/>
                <w:lang w:eastAsia="en-GB"/>
              </w:rPr>
            </w:pPr>
          </w:p>
        </w:tc>
        <w:tc>
          <w:tcPr>
            <w:tcW w:w="4990" w:type="dxa"/>
          </w:tcPr>
          <w:p w:rsidR="002C6CE4" w:rsidRDefault="00D23DFA" w:rsidP="00DF1E40">
            <w:pPr>
              <w:rPr>
                <w:rFonts w:eastAsia="Times New Roman" w:cs="Arial"/>
                <w:color w:val="000000"/>
                <w:sz w:val="22"/>
                <w:szCs w:val="22"/>
                <w:lang w:eastAsia="en-GB"/>
              </w:rPr>
            </w:pPr>
            <w:r>
              <w:rPr>
                <w:rFonts w:eastAsia="Times New Roman" w:cs="Arial"/>
                <w:color w:val="000000"/>
                <w:sz w:val="22"/>
                <w:szCs w:val="22"/>
                <w:lang w:eastAsia="en-GB"/>
              </w:rPr>
              <w:t>Relevant training for staff will be completed and will cover these equalities issues</w:t>
            </w:r>
            <w:r w:rsidR="00DC7394">
              <w:rPr>
                <w:rFonts w:eastAsia="Times New Roman" w:cs="Arial"/>
                <w:color w:val="000000"/>
                <w:sz w:val="22"/>
                <w:szCs w:val="22"/>
                <w:lang w:eastAsia="en-GB"/>
              </w:rPr>
              <w:t>, including the Council’s accessible communications policy</w:t>
            </w:r>
            <w:r>
              <w:rPr>
                <w:rFonts w:eastAsia="Times New Roman" w:cs="Arial"/>
                <w:color w:val="000000"/>
                <w:sz w:val="22"/>
                <w:szCs w:val="22"/>
                <w:lang w:eastAsia="en-GB"/>
              </w:rPr>
              <w:t>.</w:t>
            </w:r>
          </w:p>
          <w:p w:rsidR="00D23DFA" w:rsidRDefault="00D23DFA" w:rsidP="00DF1E40">
            <w:pPr>
              <w:rPr>
                <w:rFonts w:eastAsia="Times New Roman" w:cs="Arial"/>
                <w:color w:val="000000"/>
                <w:sz w:val="22"/>
                <w:szCs w:val="22"/>
                <w:lang w:eastAsia="en-GB"/>
              </w:rPr>
            </w:pPr>
          </w:p>
          <w:p w:rsidR="00D23DFA" w:rsidRPr="002C334F" w:rsidRDefault="00D23DFA" w:rsidP="00DF1E40">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It’s only those who have caring proactive parents who will ever be able to get the help and support they need</w:t>
            </w:r>
          </w:p>
          <w:p w:rsidR="00DC7394" w:rsidRDefault="00DC7394" w:rsidP="00DF1E40">
            <w:pPr>
              <w:rPr>
                <w:rFonts w:eastAsia="Times New Roman" w:cs="Arial"/>
                <w:color w:val="000000"/>
                <w:sz w:val="22"/>
                <w:szCs w:val="22"/>
                <w:lang w:eastAsia="en-GB"/>
              </w:rPr>
            </w:pPr>
          </w:p>
          <w:p w:rsidR="00DC7394" w:rsidRDefault="00DC7394" w:rsidP="00DF1E40">
            <w:pPr>
              <w:rPr>
                <w:rFonts w:eastAsia="Times New Roman" w:cs="Arial"/>
                <w:color w:val="000000"/>
                <w:sz w:val="22"/>
                <w:szCs w:val="22"/>
                <w:lang w:eastAsia="en-GB"/>
              </w:rPr>
            </w:pPr>
          </w:p>
          <w:p w:rsidR="00DC7394" w:rsidRDefault="00DC7394" w:rsidP="00DF1E40">
            <w:pPr>
              <w:rPr>
                <w:rFonts w:eastAsia="Times New Roman" w:cs="Arial"/>
                <w:color w:val="000000"/>
                <w:sz w:val="22"/>
                <w:szCs w:val="22"/>
                <w:lang w:eastAsia="en-GB"/>
              </w:rPr>
            </w:pPr>
          </w:p>
          <w:p w:rsidR="00DC7394" w:rsidRDefault="00DC7394" w:rsidP="00DF1E40">
            <w:pPr>
              <w:rPr>
                <w:rFonts w:eastAsia="Times New Roman" w:cs="Arial"/>
                <w:color w:val="000000"/>
                <w:sz w:val="22"/>
                <w:szCs w:val="22"/>
                <w:lang w:eastAsia="en-GB"/>
              </w:rPr>
            </w:pPr>
          </w:p>
          <w:p w:rsidR="00DC7394" w:rsidRDefault="00DC7394" w:rsidP="00DF1E40">
            <w:pPr>
              <w:rPr>
                <w:rFonts w:eastAsia="Times New Roman" w:cs="Arial"/>
                <w:color w:val="000000"/>
                <w:sz w:val="22"/>
                <w:szCs w:val="22"/>
                <w:lang w:eastAsia="en-GB"/>
              </w:rPr>
            </w:pPr>
          </w:p>
          <w:p w:rsidR="00DC7394" w:rsidRPr="002C334F" w:rsidRDefault="00DC7394" w:rsidP="00DF1E40">
            <w:pPr>
              <w:rPr>
                <w:rFonts w:eastAsia="Times New Roman" w:cs="Arial"/>
                <w:color w:val="000000"/>
                <w:sz w:val="22"/>
                <w:szCs w:val="22"/>
                <w:lang w:eastAsia="en-GB"/>
              </w:rPr>
            </w:pPr>
          </w:p>
        </w:tc>
        <w:tc>
          <w:tcPr>
            <w:tcW w:w="4990" w:type="dxa"/>
          </w:tcPr>
          <w:p w:rsidR="006B2435" w:rsidRDefault="00B52DB5" w:rsidP="00DF1E40">
            <w:pPr>
              <w:rPr>
                <w:rFonts w:eastAsia="Times New Roman" w:cs="Arial"/>
                <w:color w:val="000000"/>
                <w:sz w:val="22"/>
                <w:szCs w:val="22"/>
                <w:lang w:eastAsia="en-GB"/>
              </w:rPr>
            </w:pPr>
            <w:r>
              <w:rPr>
                <w:rFonts w:eastAsia="Times New Roman" w:cs="Arial"/>
                <w:color w:val="000000"/>
                <w:sz w:val="22"/>
                <w:szCs w:val="22"/>
                <w:lang w:eastAsia="en-GB"/>
              </w:rPr>
              <w:t xml:space="preserve">The </w:t>
            </w:r>
            <w:r w:rsidR="00D23DFA">
              <w:rPr>
                <w:rFonts w:eastAsia="Times New Roman" w:cs="Arial"/>
                <w:color w:val="000000"/>
                <w:sz w:val="22"/>
                <w:szCs w:val="22"/>
                <w:lang w:eastAsia="en-GB"/>
              </w:rPr>
              <w:t xml:space="preserve">SEND Partnership Board will carry out equalities related monitoring which will allow for the identification of these </w:t>
            </w:r>
            <w:r>
              <w:rPr>
                <w:rFonts w:eastAsia="Times New Roman" w:cs="Arial"/>
                <w:color w:val="000000"/>
                <w:sz w:val="22"/>
                <w:szCs w:val="22"/>
                <w:lang w:eastAsia="en-GB"/>
              </w:rPr>
              <w:t>issues and any gaps to be addressed</w:t>
            </w:r>
            <w:r w:rsidR="00D23DFA">
              <w:rPr>
                <w:rFonts w:eastAsia="Times New Roman" w:cs="Arial"/>
                <w:color w:val="000000"/>
                <w:sz w:val="22"/>
                <w:szCs w:val="22"/>
                <w:lang w:eastAsia="en-GB"/>
              </w:rPr>
              <w:t>.</w:t>
            </w:r>
            <w:r w:rsidR="00E173D1">
              <w:rPr>
                <w:rFonts w:eastAsia="Times New Roman" w:cs="Arial"/>
                <w:color w:val="000000"/>
                <w:sz w:val="22"/>
                <w:szCs w:val="22"/>
                <w:lang w:eastAsia="en-GB"/>
              </w:rPr>
              <w:t xml:space="preserve"> The </w:t>
            </w:r>
            <w:r w:rsidR="009A3C67">
              <w:rPr>
                <w:rFonts w:eastAsia="Times New Roman" w:cs="Arial"/>
                <w:color w:val="000000"/>
                <w:sz w:val="22"/>
                <w:szCs w:val="22"/>
                <w:lang w:eastAsia="en-GB"/>
              </w:rPr>
              <w:t>SEND Action P</w:t>
            </w:r>
            <w:r w:rsidR="00E173D1">
              <w:rPr>
                <w:rFonts w:eastAsia="Times New Roman" w:cs="Arial"/>
                <w:color w:val="000000"/>
                <w:sz w:val="22"/>
                <w:szCs w:val="22"/>
                <w:lang w:eastAsia="en-GB"/>
              </w:rPr>
              <w:t>lan</w:t>
            </w:r>
            <w:r w:rsidR="009034D4">
              <w:rPr>
                <w:rFonts w:eastAsia="Times New Roman" w:cs="Arial"/>
                <w:color w:val="000000"/>
                <w:sz w:val="22"/>
                <w:szCs w:val="22"/>
                <w:lang w:eastAsia="en-GB"/>
              </w:rPr>
              <w:t xml:space="preserve"> will be written post approval of the Strategy and</w:t>
            </w:r>
            <w:r w:rsidR="00E173D1">
              <w:rPr>
                <w:rFonts w:eastAsia="Times New Roman" w:cs="Arial"/>
                <w:color w:val="000000"/>
                <w:sz w:val="22"/>
                <w:szCs w:val="22"/>
                <w:lang w:eastAsia="en-GB"/>
              </w:rPr>
              <w:t xml:space="preserve"> will focus o</w:t>
            </w:r>
            <w:r w:rsidR="006B2435">
              <w:rPr>
                <w:rFonts w:eastAsia="Times New Roman" w:cs="Arial"/>
                <w:color w:val="000000"/>
                <w:sz w:val="22"/>
                <w:szCs w:val="22"/>
                <w:lang w:eastAsia="en-GB"/>
              </w:rPr>
              <w:t>n achieving equality. We work closely with the Parent Carer Forum to address these issues</w:t>
            </w:r>
            <w:r w:rsidR="00DC7394">
              <w:rPr>
                <w:rFonts w:eastAsia="Times New Roman" w:cs="Arial"/>
                <w:color w:val="000000"/>
                <w:sz w:val="22"/>
                <w:szCs w:val="22"/>
                <w:lang w:eastAsia="en-GB"/>
              </w:rPr>
              <w:t>, and i</w:t>
            </w:r>
            <w:r w:rsidR="006B2435">
              <w:rPr>
                <w:rFonts w:eastAsia="Times New Roman" w:cs="Arial"/>
                <w:color w:val="000000"/>
                <w:sz w:val="22"/>
                <w:szCs w:val="22"/>
                <w:lang w:eastAsia="en-GB"/>
              </w:rPr>
              <w:t>n addition</w:t>
            </w:r>
            <w:r w:rsidR="00DC7394">
              <w:rPr>
                <w:rFonts w:eastAsia="Times New Roman" w:cs="Arial"/>
                <w:color w:val="000000"/>
                <w:sz w:val="22"/>
                <w:szCs w:val="22"/>
                <w:lang w:eastAsia="en-GB"/>
              </w:rPr>
              <w:t>,</w:t>
            </w:r>
            <w:r w:rsidR="006B2435">
              <w:rPr>
                <w:rFonts w:eastAsia="Times New Roman" w:cs="Arial"/>
                <w:color w:val="000000"/>
                <w:sz w:val="22"/>
                <w:szCs w:val="22"/>
                <w:lang w:eastAsia="en-GB"/>
              </w:rPr>
              <w:t xml:space="preserve"> Supportive Parents are commissioned by the </w:t>
            </w:r>
            <w:proofErr w:type="spellStart"/>
            <w:r w:rsidR="006B2435">
              <w:rPr>
                <w:rFonts w:eastAsia="Times New Roman" w:cs="Arial"/>
                <w:color w:val="000000"/>
                <w:sz w:val="22"/>
                <w:szCs w:val="22"/>
                <w:lang w:eastAsia="en-GB"/>
              </w:rPr>
              <w:t>DFE</w:t>
            </w:r>
            <w:proofErr w:type="spellEnd"/>
            <w:r w:rsidR="006B2435">
              <w:rPr>
                <w:rFonts w:eastAsia="Times New Roman" w:cs="Arial"/>
                <w:color w:val="000000"/>
                <w:sz w:val="22"/>
                <w:szCs w:val="22"/>
                <w:lang w:eastAsia="en-GB"/>
              </w:rPr>
              <w:t xml:space="preserve"> to support parents/carers</w:t>
            </w:r>
            <w:r w:rsidR="00DC7394">
              <w:rPr>
                <w:rFonts w:eastAsia="Times New Roman" w:cs="Arial"/>
                <w:color w:val="000000"/>
                <w:sz w:val="22"/>
                <w:szCs w:val="22"/>
                <w:lang w:eastAsia="en-GB"/>
              </w:rPr>
              <w:t>.  We</w:t>
            </w:r>
            <w:r w:rsidR="006B2435">
              <w:rPr>
                <w:rFonts w:eastAsia="Times New Roman" w:cs="Arial"/>
                <w:color w:val="000000"/>
                <w:sz w:val="22"/>
                <w:szCs w:val="22"/>
                <w:lang w:eastAsia="en-GB"/>
              </w:rPr>
              <w:t xml:space="preserve"> </w:t>
            </w:r>
            <w:r w:rsidR="009A3C67">
              <w:rPr>
                <w:rFonts w:eastAsia="Times New Roman" w:cs="Arial"/>
                <w:color w:val="000000"/>
                <w:sz w:val="22"/>
                <w:szCs w:val="22"/>
                <w:lang w:eastAsia="en-GB"/>
              </w:rPr>
              <w:t xml:space="preserve">also </w:t>
            </w:r>
            <w:r w:rsidR="006B2435">
              <w:rPr>
                <w:rFonts w:eastAsia="Times New Roman" w:cs="Arial"/>
                <w:color w:val="000000"/>
                <w:sz w:val="22"/>
                <w:szCs w:val="22"/>
                <w:lang w:eastAsia="en-GB"/>
              </w:rPr>
              <w:t>work closely together</w:t>
            </w:r>
            <w:r w:rsidR="00DC7394">
              <w:rPr>
                <w:rFonts w:eastAsia="Times New Roman" w:cs="Arial"/>
                <w:color w:val="000000"/>
                <w:sz w:val="22"/>
                <w:szCs w:val="22"/>
                <w:lang w:eastAsia="en-GB"/>
              </w:rPr>
              <w:t xml:space="preserve"> with Supportive Parents </w:t>
            </w:r>
            <w:r w:rsidR="006B2435">
              <w:rPr>
                <w:rFonts w:eastAsia="Times New Roman" w:cs="Arial"/>
                <w:color w:val="000000"/>
                <w:sz w:val="22"/>
                <w:szCs w:val="22"/>
                <w:lang w:eastAsia="en-GB"/>
              </w:rPr>
              <w:t>to address these issues.</w:t>
            </w:r>
          </w:p>
          <w:p w:rsidR="002C6CE4" w:rsidRPr="002C334F" w:rsidRDefault="00E173D1" w:rsidP="006B2435">
            <w:pPr>
              <w:rPr>
                <w:rFonts w:eastAsia="Times New Roman" w:cs="Arial"/>
                <w:color w:val="000000"/>
                <w:sz w:val="22"/>
                <w:szCs w:val="22"/>
                <w:lang w:eastAsia="en-GB"/>
              </w:rPr>
            </w:pPr>
            <w:r>
              <w:rPr>
                <w:rFonts w:eastAsia="Times New Roman" w:cs="Arial"/>
                <w:color w:val="000000"/>
                <w:sz w:val="22"/>
                <w:szCs w:val="22"/>
                <w:lang w:eastAsia="en-GB"/>
              </w:rPr>
              <w:t xml:space="preserve"> </w:t>
            </w: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 xml:space="preserve">Children with a recognised private diagnosis should be accepted and treated the same as if it were by the </w:t>
            </w:r>
            <w:proofErr w:type="gramStart"/>
            <w:r w:rsidRPr="002C334F">
              <w:rPr>
                <w:rFonts w:eastAsia="Times New Roman" w:cs="Arial"/>
                <w:color w:val="000000"/>
                <w:sz w:val="22"/>
                <w:szCs w:val="22"/>
                <w:lang w:eastAsia="en-GB"/>
              </w:rPr>
              <w:t>NHS,</w:t>
            </w:r>
            <w:proofErr w:type="gramEnd"/>
            <w:r w:rsidRPr="002C334F">
              <w:rPr>
                <w:rFonts w:eastAsia="Times New Roman" w:cs="Arial"/>
                <w:color w:val="000000"/>
                <w:sz w:val="22"/>
                <w:szCs w:val="22"/>
                <w:lang w:eastAsia="en-GB"/>
              </w:rPr>
              <w:t xml:space="preserve"> surely this would take pressure off the system and get things moving as a whole system quicker.</w:t>
            </w:r>
          </w:p>
          <w:p w:rsidR="00DC7394" w:rsidRPr="002C334F" w:rsidRDefault="00DC7394" w:rsidP="00DF1E40">
            <w:pPr>
              <w:rPr>
                <w:rFonts w:eastAsia="Times New Roman" w:cs="Arial"/>
                <w:color w:val="000000"/>
                <w:sz w:val="22"/>
                <w:szCs w:val="22"/>
                <w:lang w:eastAsia="en-GB"/>
              </w:rPr>
            </w:pPr>
          </w:p>
        </w:tc>
        <w:tc>
          <w:tcPr>
            <w:tcW w:w="4990" w:type="dxa"/>
          </w:tcPr>
          <w:p w:rsidR="002C6CE4" w:rsidRPr="002C334F" w:rsidRDefault="007F1357" w:rsidP="00DF1E40">
            <w:pPr>
              <w:rPr>
                <w:rFonts w:eastAsia="Times New Roman" w:cs="Arial"/>
                <w:color w:val="000000"/>
                <w:sz w:val="22"/>
                <w:szCs w:val="22"/>
                <w:lang w:eastAsia="en-GB"/>
              </w:rPr>
            </w:pPr>
            <w:r>
              <w:rPr>
                <w:rFonts w:eastAsia="Times New Roman" w:cs="Arial"/>
                <w:color w:val="000000"/>
                <w:sz w:val="22"/>
                <w:szCs w:val="22"/>
                <w:lang w:eastAsia="en-GB"/>
              </w:rPr>
              <w:t xml:space="preserve">Each case is looked at individually and regard is given to Private Assessments in line with the Code of Practice for Special Educational Needs 2015. </w:t>
            </w: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Access to life skills training for young people who pursue a higher level academic route post 16 yet still need support in this area</w:t>
            </w:r>
          </w:p>
          <w:p w:rsidR="00DC7394" w:rsidRPr="002C334F" w:rsidRDefault="00DC7394" w:rsidP="00DF1E40">
            <w:pPr>
              <w:rPr>
                <w:rFonts w:eastAsia="Times New Roman" w:cs="Arial"/>
                <w:color w:val="000000"/>
                <w:sz w:val="22"/>
                <w:szCs w:val="22"/>
                <w:lang w:eastAsia="en-GB"/>
              </w:rPr>
            </w:pPr>
          </w:p>
        </w:tc>
        <w:tc>
          <w:tcPr>
            <w:tcW w:w="4990" w:type="dxa"/>
          </w:tcPr>
          <w:p w:rsidR="002C6CE4" w:rsidRDefault="00711A94" w:rsidP="00DF1E40">
            <w:pPr>
              <w:rPr>
                <w:rFonts w:eastAsia="Times New Roman" w:cs="Arial"/>
                <w:color w:val="000000"/>
                <w:sz w:val="22"/>
                <w:szCs w:val="22"/>
                <w:lang w:eastAsia="en-GB"/>
              </w:rPr>
            </w:pPr>
            <w:r>
              <w:rPr>
                <w:rFonts w:eastAsia="Times New Roman" w:cs="Arial"/>
                <w:color w:val="000000"/>
                <w:sz w:val="22"/>
                <w:szCs w:val="22"/>
                <w:lang w:eastAsia="en-GB"/>
              </w:rPr>
              <w:t>There are providers who offer Post 16 opportunities</w:t>
            </w:r>
            <w:r w:rsidR="009A3C67">
              <w:rPr>
                <w:rFonts w:eastAsia="Times New Roman" w:cs="Arial"/>
                <w:color w:val="000000"/>
                <w:sz w:val="22"/>
                <w:szCs w:val="22"/>
                <w:lang w:eastAsia="en-GB"/>
              </w:rPr>
              <w:t xml:space="preserve"> for</w:t>
            </w:r>
            <w:r>
              <w:rPr>
                <w:rFonts w:eastAsia="Times New Roman" w:cs="Arial"/>
                <w:color w:val="000000"/>
                <w:sz w:val="22"/>
                <w:szCs w:val="22"/>
                <w:lang w:eastAsia="en-GB"/>
              </w:rPr>
              <w:t xml:space="preserve"> children with SEND. These will be available on the Council’s Local Offer Website.  </w:t>
            </w:r>
          </w:p>
          <w:p w:rsidR="00DC7394" w:rsidRPr="002C334F" w:rsidRDefault="00DC7394" w:rsidP="00DF1E40">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It would be good to promote equity rather than equality, some SEND children/young people will need more support than others to achieve the same things so an equitable chance is fairer than an equal chance.</w:t>
            </w:r>
          </w:p>
          <w:p w:rsidR="00DC7394" w:rsidRPr="002C334F" w:rsidRDefault="00DC7394" w:rsidP="00DF1E40">
            <w:pPr>
              <w:rPr>
                <w:rFonts w:eastAsia="Times New Roman" w:cs="Arial"/>
                <w:color w:val="000000"/>
                <w:sz w:val="22"/>
                <w:szCs w:val="22"/>
                <w:lang w:eastAsia="en-GB"/>
              </w:rPr>
            </w:pPr>
          </w:p>
        </w:tc>
        <w:tc>
          <w:tcPr>
            <w:tcW w:w="4990" w:type="dxa"/>
          </w:tcPr>
          <w:p w:rsidR="002C6CE4" w:rsidRDefault="0043605E" w:rsidP="00C132E2">
            <w:pPr>
              <w:rPr>
                <w:rFonts w:eastAsia="Times New Roman" w:cs="Arial"/>
                <w:color w:val="000000"/>
                <w:sz w:val="22"/>
                <w:szCs w:val="22"/>
                <w:lang w:eastAsia="en-GB"/>
              </w:rPr>
            </w:pPr>
            <w:r>
              <w:rPr>
                <w:rFonts w:eastAsia="Times New Roman" w:cs="Arial"/>
                <w:color w:val="000000"/>
                <w:sz w:val="22"/>
                <w:szCs w:val="22"/>
                <w:lang w:eastAsia="en-GB"/>
              </w:rPr>
              <w:t xml:space="preserve">This point is accepted and is the foundation of </w:t>
            </w:r>
            <w:r w:rsidRPr="0043605E">
              <w:rPr>
                <w:rFonts w:eastAsia="Times New Roman" w:cs="Arial"/>
                <w:color w:val="000000"/>
                <w:sz w:val="22"/>
                <w:szCs w:val="22"/>
                <w:lang w:eastAsia="en-GB"/>
              </w:rPr>
              <w:t>the SEND Strategy. Equality is about treating people according to their needs (which differ) as opposed to treating everyone the same. The SEND Strategy itself is built upon this</w:t>
            </w:r>
            <w:r>
              <w:rPr>
                <w:rFonts w:eastAsia="Times New Roman" w:cs="Arial"/>
                <w:color w:val="000000"/>
                <w:sz w:val="22"/>
                <w:szCs w:val="22"/>
                <w:lang w:eastAsia="en-GB"/>
              </w:rPr>
              <w:t xml:space="preserve"> principle.</w:t>
            </w:r>
          </w:p>
          <w:p w:rsidR="0043605E" w:rsidRPr="002C334F" w:rsidRDefault="0043605E" w:rsidP="00C132E2">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Equalities and diversity awareness needed in all schools and inclusion policies implemented</w:t>
            </w:r>
          </w:p>
          <w:p w:rsidR="00DC7394" w:rsidRPr="002C334F" w:rsidRDefault="00DC7394" w:rsidP="00DF1E40">
            <w:pPr>
              <w:rPr>
                <w:rFonts w:eastAsia="Times New Roman" w:cs="Arial"/>
                <w:color w:val="000000"/>
                <w:sz w:val="22"/>
                <w:szCs w:val="22"/>
                <w:lang w:eastAsia="en-GB"/>
              </w:rPr>
            </w:pPr>
          </w:p>
        </w:tc>
        <w:tc>
          <w:tcPr>
            <w:tcW w:w="4990" w:type="dxa"/>
          </w:tcPr>
          <w:p w:rsidR="002C6CE4" w:rsidRPr="002C334F" w:rsidRDefault="00C132E2" w:rsidP="00DF1E40">
            <w:pPr>
              <w:rPr>
                <w:rFonts w:eastAsia="Times New Roman" w:cs="Arial"/>
                <w:color w:val="000000"/>
                <w:sz w:val="22"/>
                <w:szCs w:val="22"/>
                <w:lang w:eastAsia="en-GB"/>
              </w:rPr>
            </w:pPr>
            <w:r>
              <w:rPr>
                <w:rFonts w:eastAsia="Times New Roman" w:cs="Arial"/>
                <w:color w:val="000000"/>
                <w:sz w:val="22"/>
                <w:szCs w:val="22"/>
                <w:lang w:eastAsia="en-GB"/>
              </w:rPr>
              <w:t>We plan to deliver this as part of the SEND Action Plan.</w:t>
            </w: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Children who come from vulnerable families need help sign posting. not all parents will scream and shout if they get left behind</w:t>
            </w:r>
          </w:p>
          <w:p w:rsidR="00DC7394" w:rsidRPr="002C334F" w:rsidRDefault="00DC7394" w:rsidP="00DF1E40">
            <w:pPr>
              <w:rPr>
                <w:rFonts w:eastAsia="Times New Roman" w:cs="Arial"/>
                <w:color w:val="000000"/>
                <w:sz w:val="22"/>
                <w:szCs w:val="22"/>
                <w:lang w:eastAsia="en-GB"/>
              </w:rPr>
            </w:pPr>
          </w:p>
        </w:tc>
        <w:tc>
          <w:tcPr>
            <w:tcW w:w="4990" w:type="dxa"/>
          </w:tcPr>
          <w:p w:rsidR="00DC7394" w:rsidRDefault="00DC7394" w:rsidP="00DC7394">
            <w:pPr>
              <w:rPr>
                <w:rFonts w:eastAsia="Times New Roman" w:cs="Arial"/>
                <w:color w:val="000000"/>
                <w:sz w:val="22"/>
                <w:szCs w:val="22"/>
                <w:lang w:eastAsia="en-GB"/>
              </w:rPr>
            </w:pPr>
            <w:r>
              <w:rPr>
                <w:rFonts w:eastAsia="Times New Roman" w:cs="Arial"/>
                <w:color w:val="000000"/>
                <w:sz w:val="22"/>
                <w:szCs w:val="22"/>
                <w:lang w:eastAsia="en-GB"/>
              </w:rPr>
              <w:t xml:space="preserve">The SEND Partnership Board will carry out equalities related monitoring which will allow for the identification of these issues and any gaps to be addressed. The SEND Action Plan will be written post approval of the Strategy and will </w:t>
            </w:r>
            <w:r>
              <w:rPr>
                <w:rFonts w:eastAsia="Times New Roman" w:cs="Arial"/>
                <w:color w:val="000000"/>
                <w:sz w:val="22"/>
                <w:szCs w:val="22"/>
                <w:lang w:eastAsia="en-GB"/>
              </w:rPr>
              <w:lastRenderedPageBreak/>
              <w:t xml:space="preserve">focus on achieving equality. We work closely with the Parent Carer Forum to address these issues, and in addition, Supportive Parents are commissioned by the </w:t>
            </w:r>
            <w:proofErr w:type="spellStart"/>
            <w:r>
              <w:rPr>
                <w:rFonts w:eastAsia="Times New Roman" w:cs="Arial"/>
                <w:color w:val="000000"/>
                <w:sz w:val="22"/>
                <w:szCs w:val="22"/>
                <w:lang w:eastAsia="en-GB"/>
              </w:rPr>
              <w:t>DFE</w:t>
            </w:r>
            <w:proofErr w:type="spellEnd"/>
            <w:r>
              <w:rPr>
                <w:rFonts w:eastAsia="Times New Roman" w:cs="Arial"/>
                <w:color w:val="000000"/>
                <w:sz w:val="22"/>
                <w:szCs w:val="22"/>
                <w:lang w:eastAsia="en-GB"/>
              </w:rPr>
              <w:t xml:space="preserve"> to support parents/carers.  We also work closely together with Supportive Parents to address these issues.</w:t>
            </w:r>
          </w:p>
          <w:p w:rsidR="002C6CE4" w:rsidRPr="002C334F" w:rsidRDefault="002C6CE4" w:rsidP="00DF1E40">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Pr="002C334F"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lastRenderedPageBreak/>
              <w:t xml:space="preserve">Schools often focus on FSM, gender and race and look for trends within these groups. Within my own setting the biggest barrier for all children but especially for those with SEN/D is the experience of trauma - children who have been on the CP register or who have high ACE scores consistently miss their targets and if they also have SEN/D outcomes are even worse. How do we help children who live in chaotic circumstances to have a voice and who will speak for them if their parents will not. My own setting is not a 'typical' South </w:t>
            </w:r>
            <w:proofErr w:type="spellStart"/>
            <w:r w:rsidRPr="002C334F">
              <w:rPr>
                <w:rFonts w:eastAsia="Times New Roman" w:cs="Arial"/>
                <w:color w:val="000000"/>
                <w:sz w:val="22"/>
                <w:szCs w:val="22"/>
                <w:lang w:eastAsia="en-GB"/>
              </w:rPr>
              <w:t>Glos</w:t>
            </w:r>
            <w:proofErr w:type="spellEnd"/>
            <w:r w:rsidRPr="002C334F">
              <w:rPr>
                <w:rFonts w:eastAsia="Times New Roman" w:cs="Arial"/>
                <w:color w:val="000000"/>
                <w:sz w:val="22"/>
                <w:szCs w:val="22"/>
                <w:lang w:eastAsia="en-GB"/>
              </w:rPr>
              <w:t xml:space="preserve"> school but there are others like us who work in deprived areas and work with children who do not receive the support they deserve because their parents can't or won't engage in the system. These children often fail. I'm not sure the draft strategy addresses this group.</w:t>
            </w:r>
          </w:p>
        </w:tc>
        <w:tc>
          <w:tcPr>
            <w:tcW w:w="4990" w:type="dxa"/>
          </w:tcPr>
          <w:p w:rsidR="002C6CE4" w:rsidRPr="002C334F" w:rsidRDefault="009A3C67" w:rsidP="00875ECE">
            <w:pPr>
              <w:rPr>
                <w:rFonts w:eastAsia="Times New Roman" w:cs="Arial"/>
                <w:color w:val="000000"/>
                <w:sz w:val="22"/>
                <w:szCs w:val="22"/>
                <w:lang w:eastAsia="en-GB"/>
              </w:rPr>
            </w:pPr>
            <w:r>
              <w:rPr>
                <w:rFonts w:eastAsia="Times New Roman" w:cs="Arial"/>
                <w:color w:val="000000"/>
                <w:sz w:val="22"/>
                <w:szCs w:val="22"/>
                <w:lang w:eastAsia="en-GB"/>
              </w:rPr>
              <w:t xml:space="preserve">The </w:t>
            </w:r>
            <w:r w:rsidR="00875ECE">
              <w:rPr>
                <w:rFonts w:eastAsia="Times New Roman" w:cs="Arial"/>
                <w:color w:val="000000"/>
                <w:sz w:val="22"/>
                <w:szCs w:val="22"/>
                <w:lang w:eastAsia="en-GB"/>
              </w:rPr>
              <w:t xml:space="preserve">SEND Partnership Board will carry out monitoring on ACE which will allow for the identification of these issues and any gaps to be addressed. The </w:t>
            </w:r>
            <w:r>
              <w:rPr>
                <w:rFonts w:eastAsia="Times New Roman" w:cs="Arial"/>
                <w:color w:val="000000"/>
                <w:sz w:val="22"/>
                <w:szCs w:val="22"/>
                <w:lang w:eastAsia="en-GB"/>
              </w:rPr>
              <w:t>SEND Action P</w:t>
            </w:r>
            <w:r w:rsidR="00875ECE">
              <w:rPr>
                <w:rFonts w:eastAsia="Times New Roman" w:cs="Arial"/>
                <w:color w:val="000000"/>
                <w:sz w:val="22"/>
                <w:szCs w:val="22"/>
                <w:lang w:eastAsia="en-GB"/>
              </w:rPr>
              <w:t xml:space="preserve">lan will focus on achieving equality in this area. </w:t>
            </w:r>
          </w:p>
        </w:tc>
      </w:tr>
      <w:tr w:rsidR="002C6CE4" w:rsidRPr="002C334F" w:rsidTr="006F4EF7">
        <w:trPr>
          <w:trHeight w:val="300"/>
        </w:trPr>
        <w:tc>
          <w:tcPr>
            <w:tcW w:w="4962" w:type="dxa"/>
            <w:shd w:val="clear" w:color="auto" w:fill="auto"/>
            <w:noWrap/>
            <w:vAlign w:val="bottom"/>
            <w:hideMark/>
          </w:tcPr>
          <w:p w:rsidR="002C6CE4" w:rsidRPr="002C334F"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 xml:space="preserve">Age: support peters out from year 11 onwards.  There is little support for most SEND </w:t>
            </w:r>
            <w:proofErr w:type="spellStart"/>
            <w:r w:rsidRPr="002C334F">
              <w:rPr>
                <w:rFonts w:eastAsia="Times New Roman" w:cs="Arial"/>
                <w:color w:val="000000"/>
                <w:sz w:val="22"/>
                <w:szCs w:val="22"/>
                <w:lang w:eastAsia="en-GB"/>
              </w:rPr>
              <w:t>YP</w:t>
            </w:r>
            <w:proofErr w:type="spellEnd"/>
            <w:r w:rsidRPr="002C334F">
              <w:rPr>
                <w:rFonts w:eastAsia="Times New Roman" w:cs="Arial"/>
                <w:color w:val="000000"/>
                <w:sz w:val="22"/>
                <w:szCs w:val="22"/>
                <w:lang w:eastAsia="en-GB"/>
              </w:rPr>
              <w:t xml:space="preserve"> as they look towards post-16 options.  </w:t>
            </w:r>
            <w:proofErr w:type="gramStart"/>
            <w:r w:rsidRPr="002C334F">
              <w:rPr>
                <w:rFonts w:eastAsia="Times New Roman" w:cs="Arial"/>
                <w:color w:val="000000"/>
                <w:sz w:val="22"/>
                <w:szCs w:val="22"/>
                <w:lang w:eastAsia="en-GB"/>
              </w:rPr>
              <w:t>there</w:t>
            </w:r>
            <w:proofErr w:type="gramEnd"/>
            <w:r w:rsidRPr="002C334F">
              <w:rPr>
                <w:rFonts w:eastAsia="Times New Roman" w:cs="Arial"/>
                <w:color w:val="000000"/>
                <w:sz w:val="22"/>
                <w:szCs w:val="22"/>
                <w:lang w:eastAsia="en-GB"/>
              </w:rPr>
              <w:t xml:space="preserve"> is no proper support for many </w:t>
            </w:r>
            <w:proofErr w:type="spellStart"/>
            <w:r w:rsidRPr="002C334F">
              <w:rPr>
                <w:rFonts w:eastAsia="Times New Roman" w:cs="Arial"/>
                <w:color w:val="000000"/>
                <w:sz w:val="22"/>
                <w:szCs w:val="22"/>
                <w:lang w:eastAsia="en-GB"/>
              </w:rPr>
              <w:t>SEMH</w:t>
            </w:r>
            <w:proofErr w:type="spellEnd"/>
            <w:r w:rsidRPr="002C334F">
              <w:rPr>
                <w:rFonts w:eastAsia="Times New Roman" w:cs="Arial"/>
                <w:color w:val="000000"/>
                <w:sz w:val="22"/>
                <w:szCs w:val="22"/>
                <w:lang w:eastAsia="en-GB"/>
              </w:rPr>
              <w:t xml:space="preserve"> </w:t>
            </w:r>
            <w:proofErr w:type="spellStart"/>
            <w:r w:rsidRPr="002C334F">
              <w:rPr>
                <w:rFonts w:eastAsia="Times New Roman" w:cs="Arial"/>
                <w:color w:val="000000"/>
                <w:sz w:val="22"/>
                <w:szCs w:val="22"/>
                <w:lang w:eastAsia="en-GB"/>
              </w:rPr>
              <w:t>YP</w:t>
            </w:r>
            <w:proofErr w:type="spellEnd"/>
            <w:r w:rsidRPr="002C334F">
              <w:rPr>
                <w:rFonts w:eastAsia="Times New Roman" w:cs="Arial"/>
                <w:color w:val="000000"/>
                <w:sz w:val="22"/>
                <w:szCs w:val="22"/>
                <w:lang w:eastAsia="en-GB"/>
              </w:rPr>
              <w:t xml:space="preserve"> for post-16 education.  There is some post-16 support/educational establishments for certain severe SEND </w:t>
            </w:r>
            <w:proofErr w:type="spellStart"/>
            <w:r w:rsidRPr="002C334F">
              <w:rPr>
                <w:rFonts w:eastAsia="Times New Roman" w:cs="Arial"/>
                <w:color w:val="000000"/>
                <w:sz w:val="22"/>
                <w:szCs w:val="22"/>
                <w:lang w:eastAsia="en-GB"/>
              </w:rPr>
              <w:t>YP</w:t>
            </w:r>
            <w:proofErr w:type="spellEnd"/>
            <w:r w:rsidRPr="002C334F">
              <w:rPr>
                <w:rFonts w:eastAsia="Times New Roman" w:cs="Arial"/>
                <w:color w:val="000000"/>
                <w:sz w:val="22"/>
                <w:szCs w:val="22"/>
                <w:lang w:eastAsia="en-GB"/>
              </w:rPr>
              <w:t xml:space="preserve">. But, as I've said before, where </w:t>
            </w:r>
            <w:proofErr w:type="gramStart"/>
            <w:r w:rsidRPr="002C334F">
              <w:rPr>
                <w:rFonts w:eastAsia="Times New Roman" w:cs="Arial"/>
                <w:color w:val="000000"/>
                <w:sz w:val="22"/>
                <w:szCs w:val="22"/>
                <w:lang w:eastAsia="en-GB"/>
              </w:rPr>
              <w:t>do</w:t>
            </w:r>
            <w:proofErr w:type="gramEnd"/>
            <w:r w:rsidRPr="002C334F">
              <w:rPr>
                <w:rFonts w:eastAsia="Times New Roman" w:cs="Arial"/>
                <w:color w:val="000000"/>
                <w:sz w:val="22"/>
                <w:szCs w:val="22"/>
                <w:lang w:eastAsia="en-GB"/>
              </w:rPr>
              <w:t xml:space="preserve"> your post-16 </w:t>
            </w:r>
            <w:proofErr w:type="spellStart"/>
            <w:r w:rsidRPr="002C334F">
              <w:rPr>
                <w:rFonts w:eastAsia="Times New Roman" w:cs="Arial"/>
                <w:color w:val="000000"/>
                <w:sz w:val="22"/>
                <w:szCs w:val="22"/>
                <w:lang w:eastAsia="en-GB"/>
              </w:rPr>
              <w:t>SEMH</w:t>
            </w:r>
            <w:proofErr w:type="spellEnd"/>
            <w:r w:rsidRPr="002C334F">
              <w:rPr>
                <w:rFonts w:eastAsia="Times New Roman" w:cs="Arial"/>
                <w:color w:val="000000"/>
                <w:sz w:val="22"/>
                <w:szCs w:val="22"/>
                <w:lang w:eastAsia="en-GB"/>
              </w:rPr>
              <w:t xml:space="preserve"> kids end up?  And this all needs to be up to 25.  I don't see anything for that age group unless they have severe SEND.  Where is the support for housing? Transition to adult services?</w:t>
            </w:r>
          </w:p>
        </w:tc>
        <w:tc>
          <w:tcPr>
            <w:tcW w:w="4990" w:type="dxa"/>
          </w:tcPr>
          <w:p w:rsidR="002C6CE4" w:rsidRPr="002C334F" w:rsidRDefault="00C62E70" w:rsidP="009034D4">
            <w:pPr>
              <w:rPr>
                <w:rFonts w:eastAsia="Times New Roman" w:cs="Arial"/>
                <w:color w:val="000000"/>
                <w:sz w:val="22"/>
                <w:szCs w:val="22"/>
                <w:lang w:eastAsia="en-GB"/>
              </w:rPr>
            </w:pPr>
            <w:r>
              <w:rPr>
                <w:rFonts w:eastAsia="Times New Roman" w:cs="Arial"/>
                <w:color w:val="000000"/>
                <w:sz w:val="22"/>
                <w:szCs w:val="22"/>
                <w:lang w:eastAsia="en-GB"/>
              </w:rPr>
              <w:t>Priority</w:t>
            </w:r>
            <w:r w:rsidR="009A3C67">
              <w:rPr>
                <w:rFonts w:eastAsia="Times New Roman" w:cs="Arial"/>
                <w:color w:val="000000"/>
                <w:sz w:val="22"/>
                <w:szCs w:val="22"/>
                <w:lang w:eastAsia="en-GB"/>
              </w:rPr>
              <w:t xml:space="preserve"> 5 of the SEND Strategy focusses on T</w:t>
            </w:r>
            <w:r>
              <w:rPr>
                <w:rFonts w:eastAsia="Times New Roman" w:cs="Arial"/>
                <w:color w:val="000000"/>
                <w:sz w:val="22"/>
                <w:szCs w:val="22"/>
                <w:lang w:eastAsia="en-GB"/>
              </w:rPr>
              <w:t xml:space="preserve">ransition and </w:t>
            </w:r>
            <w:r w:rsidR="009A3C67">
              <w:rPr>
                <w:rFonts w:eastAsia="Times New Roman" w:cs="Arial"/>
                <w:color w:val="000000"/>
                <w:sz w:val="22"/>
                <w:szCs w:val="22"/>
                <w:lang w:eastAsia="en-GB"/>
              </w:rPr>
              <w:t xml:space="preserve">actions will be included in the SEND </w:t>
            </w:r>
            <w:r>
              <w:rPr>
                <w:rFonts w:eastAsia="Times New Roman" w:cs="Arial"/>
                <w:color w:val="000000"/>
                <w:sz w:val="22"/>
                <w:szCs w:val="22"/>
                <w:lang w:eastAsia="en-GB"/>
              </w:rPr>
              <w:t>Action Plan</w:t>
            </w:r>
            <w:r w:rsidR="009034D4">
              <w:rPr>
                <w:rFonts w:eastAsia="Times New Roman" w:cs="Arial"/>
                <w:color w:val="000000"/>
                <w:sz w:val="22"/>
                <w:szCs w:val="22"/>
                <w:lang w:eastAsia="en-GB"/>
              </w:rPr>
              <w:t>.</w:t>
            </w:r>
            <w:r>
              <w:rPr>
                <w:rFonts w:eastAsia="Times New Roman" w:cs="Arial"/>
                <w:color w:val="000000"/>
                <w:sz w:val="22"/>
                <w:szCs w:val="22"/>
                <w:lang w:eastAsia="en-GB"/>
              </w:rPr>
              <w:t xml:space="preserve"> </w:t>
            </w:r>
            <w:r w:rsidR="009034D4">
              <w:rPr>
                <w:rFonts w:eastAsia="Times New Roman" w:cs="Arial"/>
                <w:color w:val="000000"/>
                <w:sz w:val="22"/>
                <w:szCs w:val="22"/>
                <w:lang w:eastAsia="en-GB"/>
              </w:rPr>
              <w:t>Priority 4 of the SEND Strategy addresses services and provision</w:t>
            </w:r>
            <w:r w:rsidR="00DC7394">
              <w:rPr>
                <w:rFonts w:eastAsia="Times New Roman" w:cs="Arial"/>
                <w:color w:val="000000"/>
                <w:sz w:val="22"/>
                <w:szCs w:val="22"/>
                <w:lang w:eastAsia="en-GB"/>
              </w:rPr>
              <w:t>,</w:t>
            </w:r>
            <w:r w:rsidR="009034D4">
              <w:rPr>
                <w:rFonts w:eastAsia="Times New Roman" w:cs="Arial"/>
                <w:color w:val="000000"/>
                <w:sz w:val="22"/>
                <w:szCs w:val="22"/>
                <w:lang w:eastAsia="en-GB"/>
              </w:rPr>
              <w:t xml:space="preserve"> and s</w:t>
            </w:r>
            <w:r>
              <w:rPr>
                <w:rFonts w:eastAsia="Times New Roman" w:cs="Arial"/>
                <w:color w:val="000000"/>
                <w:sz w:val="22"/>
                <w:szCs w:val="22"/>
                <w:lang w:eastAsia="en-GB"/>
              </w:rPr>
              <w:t>ervices will be reviewed to identify gaps and how to address these.</w:t>
            </w: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This should tie in with a National Strategy, if one exists, and consider sharing resources with neighbouring councils or National authorities where appropriate.</w:t>
            </w:r>
          </w:p>
          <w:p w:rsidR="00DC7394" w:rsidRPr="002C334F" w:rsidRDefault="00DC7394" w:rsidP="00DF1E40">
            <w:pPr>
              <w:rPr>
                <w:rFonts w:eastAsia="Times New Roman" w:cs="Arial"/>
                <w:color w:val="000000"/>
                <w:sz w:val="22"/>
                <w:szCs w:val="22"/>
                <w:lang w:eastAsia="en-GB"/>
              </w:rPr>
            </w:pPr>
          </w:p>
        </w:tc>
        <w:tc>
          <w:tcPr>
            <w:tcW w:w="4990" w:type="dxa"/>
          </w:tcPr>
          <w:p w:rsidR="004B7EC6" w:rsidRDefault="004B7EC6" w:rsidP="00DF1E40">
            <w:pPr>
              <w:rPr>
                <w:rFonts w:eastAsia="Times New Roman" w:cs="Arial"/>
                <w:color w:val="000000"/>
                <w:sz w:val="22"/>
                <w:szCs w:val="22"/>
                <w:lang w:eastAsia="en-GB"/>
              </w:rPr>
            </w:pPr>
            <w:r>
              <w:rPr>
                <w:rFonts w:eastAsia="Times New Roman" w:cs="Arial"/>
                <w:color w:val="000000"/>
                <w:sz w:val="22"/>
                <w:szCs w:val="22"/>
                <w:lang w:eastAsia="en-GB"/>
              </w:rPr>
              <w:t xml:space="preserve">The SEND Strategy is written to link directly with the SEND Code of Practice 2015. Sharing of resources </w:t>
            </w:r>
            <w:r w:rsidR="009034D4">
              <w:rPr>
                <w:rFonts w:eastAsia="Times New Roman" w:cs="Arial"/>
                <w:color w:val="000000"/>
                <w:sz w:val="22"/>
                <w:szCs w:val="22"/>
                <w:lang w:eastAsia="en-GB"/>
              </w:rPr>
              <w:t xml:space="preserve">across Local Areas </w:t>
            </w:r>
            <w:r>
              <w:rPr>
                <w:rFonts w:eastAsia="Times New Roman" w:cs="Arial"/>
                <w:color w:val="000000"/>
                <w:sz w:val="22"/>
                <w:szCs w:val="22"/>
                <w:lang w:eastAsia="en-GB"/>
              </w:rPr>
              <w:t xml:space="preserve">is looked at and jointly commissioned where this is possible. </w:t>
            </w:r>
          </w:p>
          <w:p w:rsidR="002C6CE4" w:rsidRPr="002C334F" w:rsidRDefault="002C6CE4" w:rsidP="00DF1E40">
            <w:pPr>
              <w:rPr>
                <w:rFonts w:eastAsia="Times New Roman" w:cs="Arial"/>
                <w:color w:val="000000"/>
                <w:sz w:val="22"/>
                <w:szCs w:val="22"/>
                <w:lang w:eastAsia="en-GB"/>
              </w:rPr>
            </w:pPr>
          </w:p>
        </w:tc>
      </w:tr>
      <w:tr w:rsidR="002C6CE4" w:rsidRPr="002C334F" w:rsidTr="006F4EF7">
        <w:trPr>
          <w:trHeight w:val="300"/>
        </w:trPr>
        <w:tc>
          <w:tcPr>
            <w:tcW w:w="4962" w:type="dxa"/>
            <w:shd w:val="clear" w:color="auto" w:fill="auto"/>
            <w:noWrap/>
            <w:vAlign w:val="bottom"/>
            <w:hideMark/>
          </w:tcPr>
          <w:p w:rsidR="002C6CE4" w:rsidRDefault="002C6CE4" w:rsidP="00DF1E40">
            <w:pPr>
              <w:rPr>
                <w:rFonts w:eastAsia="Times New Roman" w:cs="Arial"/>
                <w:color w:val="000000"/>
                <w:sz w:val="22"/>
                <w:szCs w:val="22"/>
                <w:lang w:eastAsia="en-GB"/>
              </w:rPr>
            </w:pPr>
            <w:r w:rsidRPr="002C334F">
              <w:rPr>
                <w:rFonts w:eastAsia="Times New Roman" w:cs="Arial"/>
                <w:color w:val="000000"/>
                <w:sz w:val="22"/>
                <w:szCs w:val="22"/>
                <w:lang w:eastAsia="en-GB"/>
              </w:rPr>
              <w:t xml:space="preserve">As noted under </w:t>
            </w:r>
            <w:proofErr w:type="spellStart"/>
            <w:r w:rsidRPr="002C334F">
              <w:rPr>
                <w:rFonts w:eastAsia="Times New Roman" w:cs="Arial"/>
                <w:color w:val="000000"/>
                <w:sz w:val="22"/>
                <w:szCs w:val="22"/>
                <w:lang w:eastAsia="en-GB"/>
              </w:rPr>
              <w:t>Q10</w:t>
            </w:r>
            <w:proofErr w:type="spellEnd"/>
            <w:r w:rsidRPr="002C334F">
              <w:rPr>
                <w:rFonts w:eastAsia="Times New Roman" w:cs="Arial"/>
                <w:color w:val="000000"/>
                <w:sz w:val="22"/>
                <w:szCs w:val="22"/>
                <w:lang w:eastAsia="en-GB"/>
              </w:rPr>
              <w:t>, consideration needs to be given to parents who are unable to access information on the internet or who are not able to read information in English.</w:t>
            </w:r>
          </w:p>
          <w:p w:rsidR="00DC7394" w:rsidRPr="002C334F" w:rsidRDefault="00DC7394" w:rsidP="00DF1E40">
            <w:pPr>
              <w:rPr>
                <w:rFonts w:eastAsia="Times New Roman" w:cs="Arial"/>
                <w:color w:val="000000"/>
                <w:sz w:val="22"/>
                <w:szCs w:val="22"/>
                <w:lang w:eastAsia="en-GB"/>
              </w:rPr>
            </w:pPr>
          </w:p>
        </w:tc>
        <w:tc>
          <w:tcPr>
            <w:tcW w:w="4990" w:type="dxa"/>
          </w:tcPr>
          <w:p w:rsidR="00116D73" w:rsidRDefault="00116D73" w:rsidP="00116D73">
            <w:pPr>
              <w:rPr>
                <w:rFonts w:eastAsia="Times New Roman" w:cs="Arial"/>
                <w:color w:val="000000"/>
                <w:sz w:val="22"/>
                <w:szCs w:val="22"/>
                <w:lang w:eastAsia="en-GB"/>
              </w:rPr>
            </w:pPr>
            <w:r>
              <w:rPr>
                <w:rFonts w:eastAsia="Times New Roman" w:cs="Arial"/>
                <w:color w:val="000000"/>
                <w:sz w:val="22"/>
                <w:szCs w:val="22"/>
                <w:lang w:eastAsia="en-GB"/>
              </w:rPr>
              <w:t xml:space="preserve">The SEND Strategy Action Plan will address how we </w:t>
            </w:r>
            <w:r w:rsidR="00DC7394">
              <w:rPr>
                <w:rFonts w:eastAsia="Times New Roman" w:cs="Arial"/>
                <w:color w:val="000000"/>
                <w:sz w:val="22"/>
                <w:szCs w:val="22"/>
                <w:lang w:eastAsia="en-GB"/>
              </w:rPr>
              <w:t xml:space="preserve">ensure that </w:t>
            </w:r>
            <w:r>
              <w:rPr>
                <w:rFonts w:eastAsia="Times New Roman" w:cs="Arial"/>
                <w:color w:val="000000"/>
                <w:sz w:val="22"/>
                <w:szCs w:val="22"/>
                <w:lang w:eastAsia="en-GB"/>
              </w:rPr>
              <w:t xml:space="preserve">information </w:t>
            </w:r>
            <w:r w:rsidR="00DC7394">
              <w:rPr>
                <w:rFonts w:eastAsia="Times New Roman" w:cs="Arial"/>
                <w:color w:val="000000"/>
                <w:sz w:val="22"/>
                <w:szCs w:val="22"/>
                <w:lang w:eastAsia="en-GB"/>
              </w:rPr>
              <w:t xml:space="preserve">is provided for all </w:t>
            </w:r>
            <w:r>
              <w:rPr>
                <w:rFonts w:eastAsia="Times New Roman" w:cs="Arial"/>
                <w:color w:val="000000"/>
                <w:sz w:val="22"/>
                <w:szCs w:val="22"/>
                <w:lang w:eastAsia="en-GB"/>
              </w:rPr>
              <w:t>in accessible format</w:t>
            </w:r>
            <w:r w:rsidR="00DC7394">
              <w:rPr>
                <w:rFonts w:eastAsia="Times New Roman" w:cs="Arial"/>
                <w:color w:val="000000"/>
                <w:sz w:val="22"/>
                <w:szCs w:val="22"/>
                <w:lang w:eastAsia="en-GB"/>
              </w:rPr>
              <w:t>s</w:t>
            </w:r>
            <w:r>
              <w:rPr>
                <w:rFonts w:eastAsia="Times New Roman" w:cs="Arial"/>
                <w:color w:val="000000"/>
                <w:sz w:val="22"/>
                <w:szCs w:val="22"/>
                <w:lang w:eastAsia="en-GB"/>
              </w:rPr>
              <w:t>.</w:t>
            </w:r>
          </w:p>
          <w:p w:rsidR="00116D73" w:rsidRDefault="00116D73" w:rsidP="00116D73">
            <w:pPr>
              <w:rPr>
                <w:rFonts w:eastAsia="Times New Roman" w:cs="Arial"/>
                <w:color w:val="000000"/>
                <w:sz w:val="22"/>
                <w:szCs w:val="22"/>
                <w:lang w:eastAsia="en-GB"/>
              </w:rPr>
            </w:pPr>
          </w:p>
          <w:p w:rsidR="002C6CE4" w:rsidRPr="002C334F" w:rsidRDefault="002C6CE4" w:rsidP="00DF1E40">
            <w:pPr>
              <w:rPr>
                <w:rFonts w:eastAsia="Times New Roman" w:cs="Arial"/>
                <w:color w:val="000000"/>
                <w:sz w:val="22"/>
                <w:szCs w:val="22"/>
                <w:lang w:eastAsia="en-GB"/>
              </w:rPr>
            </w:pPr>
          </w:p>
        </w:tc>
      </w:tr>
    </w:tbl>
    <w:p w:rsidR="002C6CE4" w:rsidRPr="002C334F" w:rsidRDefault="002C6CE4" w:rsidP="002C6CE4">
      <w:pPr>
        <w:rPr>
          <w:rFonts w:cs="Arial"/>
          <w:b/>
          <w:szCs w:val="24"/>
        </w:rPr>
      </w:pPr>
    </w:p>
    <w:p w:rsidR="002C6CE4" w:rsidRDefault="002C6CE4" w:rsidP="005A1386">
      <w:pPr>
        <w:rPr>
          <w:rFonts w:eastAsia="Times New Roman" w:cs="Arial"/>
          <w:sz w:val="22"/>
          <w:szCs w:val="22"/>
          <w:lang w:eastAsia="en-GB"/>
        </w:rPr>
      </w:pPr>
    </w:p>
    <w:p w:rsidR="006F4EF7" w:rsidRDefault="006F4EF7">
      <w:pPr>
        <w:rPr>
          <w:rFonts w:eastAsia="Times New Roman" w:cs="Arial"/>
          <w:sz w:val="22"/>
          <w:szCs w:val="22"/>
          <w:lang w:eastAsia="en-GB"/>
        </w:rPr>
      </w:pPr>
      <w:r>
        <w:rPr>
          <w:rFonts w:eastAsia="Times New Roman" w:cs="Arial"/>
          <w:sz w:val="22"/>
          <w:szCs w:val="22"/>
          <w:lang w:eastAsia="en-GB"/>
        </w:rPr>
        <w:br w:type="page"/>
      </w:r>
    </w:p>
    <w:p w:rsidR="00E1347A" w:rsidRPr="004A73DA" w:rsidRDefault="006F4EF7" w:rsidP="005A1386">
      <w:pPr>
        <w:rPr>
          <w:rFonts w:eastAsia="Times New Roman" w:cs="Arial"/>
          <w:sz w:val="22"/>
          <w:szCs w:val="22"/>
          <w:lang w:eastAsia="en-GB"/>
        </w:rPr>
      </w:pPr>
      <w:r>
        <w:rPr>
          <w:rFonts w:eastAsia="Times New Roman" w:cs="Arial"/>
          <w:sz w:val="22"/>
          <w:szCs w:val="22"/>
          <w:lang w:eastAsia="en-GB"/>
        </w:rPr>
        <w:lastRenderedPageBreak/>
        <w:t>In relation to the</w:t>
      </w:r>
      <w:r w:rsidR="00643AEF" w:rsidRPr="004A73DA">
        <w:rPr>
          <w:rFonts w:eastAsia="Times New Roman" w:cs="Arial"/>
          <w:sz w:val="22"/>
          <w:szCs w:val="22"/>
          <w:lang w:eastAsia="en-GB"/>
        </w:rPr>
        <w:t xml:space="preserve"> 6 priorities </w:t>
      </w:r>
      <w:r>
        <w:rPr>
          <w:rFonts w:eastAsia="Times New Roman" w:cs="Arial"/>
          <w:sz w:val="22"/>
          <w:szCs w:val="22"/>
          <w:lang w:eastAsia="en-GB"/>
        </w:rPr>
        <w:t>set out within the Strategy, the following</w:t>
      </w:r>
      <w:r w:rsidR="00E1347A" w:rsidRPr="004A73DA">
        <w:rPr>
          <w:rFonts w:cs="Arial"/>
          <w:sz w:val="22"/>
          <w:szCs w:val="22"/>
        </w:rPr>
        <w:t xml:space="preserve"> key equalities issues have been identified </w:t>
      </w:r>
      <w:r>
        <w:rPr>
          <w:rFonts w:cs="Arial"/>
          <w:sz w:val="22"/>
          <w:szCs w:val="22"/>
        </w:rPr>
        <w:t>and are</w:t>
      </w:r>
      <w:r w:rsidR="00E1347A" w:rsidRPr="004A73DA">
        <w:rPr>
          <w:rFonts w:cs="Arial"/>
          <w:sz w:val="22"/>
          <w:szCs w:val="22"/>
        </w:rPr>
        <w:t xml:space="preserve"> outlined in the table below</w:t>
      </w:r>
      <w:r>
        <w:rPr>
          <w:rFonts w:cs="Arial"/>
          <w:sz w:val="22"/>
          <w:szCs w:val="22"/>
        </w:rPr>
        <w:t xml:space="preserve"> along with actions to be taken to address them:</w:t>
      </w:r>
    </w:p>
    <w:p w:rsidR="00E1347A" w:rsidRPr="004A73DA" w:rsidRDefault="00E1347A" w:rsidP="005A1386">
      <w:pPr>
        <w:rPr>
          <w:rFonts w:eastAsia="Times New Roman" w:cs="Arial"/>
          <w:sz w:val="22"/>
          <w:szCs w:val="22"/>
          <w:lang w:eastAsia="en-GB"/>
        </w:rPr>
      </w:pPr>
    </w:p>
    <w:tbl>
      <w:tblPr>
        <w:tblStyle w:val="TableGrid"/>
        <w:tblW w:w="10031" w:type="dxa"/>
        <w:tblInd w:w="0" w:type="dxa"/>
        <w:tblLook w:val="04A0" w:firstRow="1" w:lastRow="0" w:firstColumn="1" w:lastColumn="0" w:noHBand="0" w:noVBand="1"/>
      </w:tblPr>
      <w:tblGrid>
        <w:gridCol w:w="571"/>
        <w:gridCol w:w="1947"/>
        <w:gridCol w:w="3969"/>
        <w:gridCol w:w="3544"/>
      </w:tblGrid>
      <w:tr w:rsidR="00E1347A" w:rsidRPr="004A73DA" w:rsidTr="004A73DA">
        <w:tc>
          <w:tcPr>
            <w:tcW w:w="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347A" w:rsidRPr="004A73DA" w:rsidRDefault="00E1347A">
            <w:pPr>
              <w:rPr>
                <w:rFonts w:ascii="Arial" w:hAnsi="Arial" w:cs="Arial"/>
                <w:b/>
              </w:rPr>
            </w:pPr>
            <w:r w:rsidRPr="004A73DA">
              <w:rPr>
                <w:rFonts w:ascii="Arial" w:hAnsi="Arial" w:cs="Arial"/>
                <w:b/>
              </w:rPr>
              <w:t>No</w:t>
            </w:r>
            <w:r w:rsidR="00BC3252" w:rsidRPr="004A73DA">
              <w:rPr>
                <w:rFonts w:ascii="Arial" w:hAnsi="Arial" w:cs="Arial"/>
                <w:b/>
              </w:rPr>
              <w:t>.</w:t>
            </w: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347A" w:rsidRPr="004A73DA" w:rsidRDefault="00E1347A" w:rsidP="004A73DA">
            <w:pPr>
              <w:jc w:val="center"/>
              <w:rPr>
                <w:rFonts w:ascii="Arial" w:hAnsi="Arial" w:cs="Arial"/>
                <w:b/>
              </w:rPr>
            </w:pPr>
            <w:r w:rsidRPr="004A73DA">
              <w:rPr>
                <w:rFonts w:ascii="Arial" w:hAnsi="Arial" w:cs="Arial"/>
                <w:b/>
              </w:rPr>
              <w:t>Priority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347A" w:rsidRPr="004A73DA" w:rsidRDefault="00E1347A" w:rsidP="004A73DA">
            <w:pPr>
              <w:jc w:val="center"/>
              <w:rPr>
                <w:rFonts w:ascii="Arial" w:hAnsi="Arial" w:cs="Arial"/>
                <w:b/>
              </w:rPr>
            </w:pPr>
            <w:r w:rsidRPr="004A73DA">
              <w:rPr>
                <w:rFonts w:ascii="Arial" w:hAnsi="Arial" w:cs="Arial"/>
                <w:b/>
              </w:rPr>
              <w:t>Equalities Issues we have identified and what we will do about them through a review of the strategy on an annual basis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347A" w:rsidRPr="004A73DA" w:rsidRDefault="00E1347A" w:rsidP="004A73DA">
            <w:pPr>
              <w:jc w:val="center"/>
              <w:rPr>
                <w:rFonts w:ascii="Arial" w:hAnsi="Arial" w:cs="Arial"/>
                <w:b/>
              </w:rPr>
            </w:pPr>
            <w:r w:rsidRPr="004A73DA">
              <w:rPr>
                <w:rFonts w:ascii="Arial" w:hAnsi="Arial" w:cs="Arial"/>
                <w:b/>
              </w:rPr>
              <w:t>How will we know if we are successful through review on an annual basis</w:t>
            </w: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1</w:t>
            </w:r>
          </w:p>
        </w:tc>
        <w:tc>
          <w:tcPr>
            <w:tcW w:w="1947"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Access to information, advice and signposting</w:t>
            </w: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E1347A" w:rsidP="00686A8F">
            <w:pPr>
              <w:rPr>
                <w:rFonts w:ascii="Arial" w:hAnsi="Arial" w:cs="Arial"/>
              </w:rPr>
            </w:pPr>
            <w:r w:rsidRPr="004A73DA">
              <w:rPr>
                <w:rFonts w:ascii="Arial" w:hAnsi="Arial" w:cs="Arial"/>
              </w:rPr>
              <w:t xml:space="preserve">We will liaise with the Council’s Equality Co-ordinator to signpost information and advice to the various Equalities groups and forums across South Gloucestershire as part of the implementation of the communication plan. </w:t>
            </w:r>
            <w:r w:rsidR="00686A8F" w:rsidRPr="004A73DA">
              <w:rPr>
                <w:rFonts w:ascii="Arial" w:hAnsi="Arial" w:cs="Arial"/>
              </w:rPr>
              <w:t xml:space="preserve">This will include evaluation of how </w:t>
            </w:r>
            <w:r w:rsidRPr="004A73DA">
              <w:rPr>
                <w:rFonts w:ascii="Arial" w:hAnsi="Arial" w:cs="Arial"/>
              </w:rPr>
              <w:t>information is shared and</w:t>
            </w:r>
            <w:r w:rsidR="00686A8F" w:rsidRPr="004A73DA">
              <w:rPr>
                <w:rFonts w:ascii="Arial" w:hAnsi="Arial" w:cs="Arial"/>
              </w:rPr>
              <w:t xml:space="preserve"> the extent to which it is </w:t>
            </w:r>
            <w:r w:rsidRPr="004A73DA">
              <w:rPr>
                <w:rFonts w:ascii="Arial" w:hAnsi="Arial" w:cs="Arial"/>
              </w:rPr>
              <w:t>understood by service users.</w:t>
            </w:r>
          </w:p>
        </w:tc>
        <w:tc>
          <w:tcPr>
            <w:tcW w:w="3544" w:type="dxa"/>
            <w:tcBorders>
              <w:top w:val="single" w:sz="4" w:space="0" w:color="auto"/>
              <w:left w:val="single" w:sz="4" w:space="0" w:color="auto"/>
              <w:bottom w:val="single" w:sz="4" w:space="0" w:color="auto"/>
              <w:right w:val="single" w:sz="4" w:space="0" w:color="auto"/>
            </w:tcBorders>
          </w:tcPr>
          <w:p w:rsidR="00E1347A" w:rsidRPr="004A73DA" w:rsidRDefault="00E1347A">
            <w:pPr>
              <w:rPr>
                <w:rFonts w:ascii="Arial" w:hAnsi="Arial" w:cs="Arial"/>
              </w:rPr>
            </w:pPr>
            <w:r w:rsidRPr="004A73DA">
              <w:rPr>
                <w:rFonts w:ascii="Arial" w:hAnsi="Arial" w:cs="Arial"/>
              </w:rPr>
              <w:t xml:space="preserve">We will evaluate the success criteria </w:t>
            </w:r>
            <w:r w:rsidR="00686A8F" w:rsidRPr="004A73DA">
              <w:rPr>
                <w:rFonts w:ascii="Arial" w:hAnsi="Arial" w:cs="Arial"/>
              </w:rPr>
              <w:t xml:space="preserve">set out within the Strategy </w:t>
            </w:r>
            <w:r w:rsidRPr="004A73DA">
              <w:rPr>
                <w:rFonts w:ascii="Arial" w:hAnsi="Arial" w:cs="Arial"/>
              </w:rPr>
              <w:t>to include an analysis of protected characterises and action will be taken as relevant</w:t>
            </w:r>
            <w:r w:rsidR="00686A8F" w:rsidRPr="004A73DA">
              <w:rPr>
                <w:rFonts w:ascii="Arial" w:hAnsi="Arial" w:cs="Arial"/>
              </w:rPr>
              <w:t>.</w:t>
            </w:r>
          </w:p>
          <w:p w:rsidR="00E1347A" w:rsidRPr="004A73DA" w:rsidRDefault="00E1347A">
            <w:pPr>
              <w:rPr>
                <w:rFonts w:ascii="Arial" w:hAnsi="Arial" w:cs="Arial"/>
              </w:rPr>
            </w:pPr>
          </w:p>
          <w:p w:rsidR="00E1347A" w:rsidRPr="004A73DA" w:rsidRDefault="00E1347A">
            <w:pPr>
              <w:rPr>
                <w:rFonts w:ascii="Arial" w:hAnsi="Arial" w:cs="Arial"/>
              </w:rPr>
            </w:pP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2</w:t>
            </w:r>
          </w:p>
        </w:tc>
        <w:tc>
          <w:tcPr>
            <w:tcW w:w="1947"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Timely identification and assessment leading to improved outcomes</w:t>
            </w: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 xml:space="preserve">We will check whether timely identification and assessment occurs and leads to improved outcomes for children </w:t>
            </w:r>
            <w:r w:rsidR="004A73DA" w:rsidRPr="004A73DA">
              <w:rPr>
                <w:rFonts w:ascii="Arial" w:hAnsi="Arial" w:cs="Arial"/>
              </w:rPr>
              <w:t>with protected</w:t>
            </w:r>
            <w:r w:rsidRPr="004A73DA">
              <w:rPr>
                <w:rFonts w:ascii="Arial" w:hAnsi="Arial" w:cs="Arial"/>
              </w:rPr>
              <w:t xml:space="preserve"> characteristics</w:t>
            </w:r>
            <w:r w:rsidR="00686A8F" w:rsidRPr="004A73DA">
              <w:rPr>
                <w:rFonts w:ascii="Arial" w:hAnsi="Arial" w:cs="Arial"/>
              </w:rPr>
              <w:t>.</w:t>
            </w:r>
          </w:p>
          <w:p w:rsidR="00E1347A" w:rsidRPr="004A73DA" w:rsidRDefault="00E1347A">
            <w:pPr>
              <w:rPr>
                <w:rFonts w:ascii="Arial" w:hAnsi="Arial" w:cs="Arial"/>
              </w:rPr>
            </w:pPr>
            <w:r w:rsidRPr="004A73DA">
              <w:rPr>
                <w:rFonts w:ascii="Arial" w:hAnsi="Arial" w:cs="Arial"/>
              </w:rPr>
              <w:t xml:space="preserve"> </w:t>
            </w:r>
          </w:p>
        </w:tc>
        <w:tc>
          <w:tcPr>
            <w:tcW w:w="3544" w:type="dxa"/>
            <w:tcBorders>
              <w:top w:val="single" w:sz="4" w:space="0" w:color="auto"/>
              <w:left w:val="single" w:sz="4" w:space="0" w:color="auto"/>
              <w:bottom w:val="single" w:sz="4" w:space="0" w:color="auto"/>
              <w:right w:val="single" w:sz="4" w:space="0" w:color="auto"/>
            </w:tcBorders>
          </w:tcPr>
          <w:p w:rsidR="00686A8F" w:rsidRPr="004A73DA" w:rsidRDefault="00686A8F" w:rsidP="00686A8F">
            <w:pPr>
              <w:rPr>
                <w:rFonts w:ascii="Arial" w:hAnsi="Arial" w:cs="Arial"/>
              </w:rPr>
            </w:pPr>
            <w:r w:rsidRPr="004A73DA">
              <w:rPr>
                <w:rFonts w:ascii="Arial" w:hAnsi="Arial" w:cs="Arial"/>
              </w:rPr>
              <w:t>We will evaluate the success criteria set out within the Strategy to include an analysis of protected characterises and action will be taken as relevant.</w:t>
            </w:r>
          </w:p>
          <w:p w:rsidR="00E1347A" w:rsidRPr="004A73DA" w:rsidRDefault="00E1347A">
            <w:pPr>
              <w:rPr>
                <w:rFonts w:ascii="Arial" w:hAnsi="Arial" w:cs="Arial"/>
              </w:rPr>
            </w:pPr>
          </w:p>
          <w:p w:rsidR="00E1347A" w:rsidRPr="004A73DA" w:rsidRDefault="00E1347A">
            <w:pPr>
              <w:rPr>
                <w:rFonts w:ascii="Arial" w:hAnsi="Arial" w:cs="Arial"/>
              </w:rPr>
            </w:pP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3</w:t>
            </w:r>
          </w:p>
        </w:tc>
        <w:tc>
          <w:tcPr>
            <w:tcW w:w="1947"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Lead, co-ordinate and ensure accountability</w:t>
            </w: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E1347A" w:rsidP="00686A8F">
            <w:pPr>
              <w:rPr>
                <w:rFonts w:ascii="Arial" w:hAnsi="Arial" w:cs="Arial"/>
              </w:rPr>
            </w:pPr>
            <w:r w:rsidRPr="004A73DA">
              <w:rPr>
                <w:rFonts w:ascii="Arial" w:hAnsi="Arial" w:cs="Arial"/>
              </w:rPr>
              <w:t xml:space="preserve">The SEND Partnership </w:t>
            </w:r>
            <w:r w:rsidR="004A73DA" w:rsidRPr="004A73DA">
              <w:rPr>
                <w:rFonts w:ascii="Arial" w:hAnsi="Arial" w:cs="Arial"/>
              </w:rPr>
              <w:t>Board will</w:t>
            </w:r>
            <w:r w:rsidR="00686A8F" w:rsidRPr="004A73DA">
              <w:rPr>
                <w:rFonts w:ascii="Arial" w:hAnsi="Arial" w:cs="Arial"/>
              </w:rPr>
              <w:t xml:space="preserve"> receive training</w:t>
            </w:r>
            <w:r w:rsidRPr="004A73DA">
              <w:rPr>
                <w:rFonts w:ascii="Arial" w:hAnsi="Arial" w:cs="Arial"/>
              </w:rPr>
              <w:t xml:space="preserve"> in assessing equalities performance </w:t>
            </w:r>
            <w:r w:rsidR="00686A8F" w:rsidRPr="004A73DA">
              <w:rPr>
                <w:rFonts w:ascii="Arial" w:hAnsi="Arial" w:cs="Arial"/>
              </w:rPr>
              <w:t xml:space="preserve">in order that </w:t>
            </w:r>
            <w:r w:rsidRPr="004A73DA">
              <w:rPr>
                <w:rFonts w:ascii="Arial" w:hAnsi="Arial" w:cs="Arial"/>
              </w:rPr>
              <w:t xml:space="preserve">the skills to support, challenge and oversee the running of the </w:t>
            </w:r>
            <w:r w:rsidR="00686A8F" w:rsidRPr="004A73DA">
              <w:rPr>
                <w:rFonts w:ascii="Arial" w:hAnsi="Arial" w:cs="Arial"/>
              </w:rPr>
              <w:t>S</w:t>
            </w:r>
            <w:r w:rsidRPr="004A73DA">
              <w:rPr>
                <w:rFonts w:ascii="Arial" w:hAnsi="Arial" w:cs="Arial"/>
              </w:rPr>
              <w:t>trategy</w:t>
            </w:r>
            <w:r w:rsidR="00686A8F" w:rsidRPr="004A73DA">
              <w:rPr>
                <w:rFonts w:ascii="Arial" w:hAnsi="Arial" w:cs="Arial"/>
              </w:rPr>
              <w:t xml:space="preserve"> are in place.</w:t>
            </w:r>
          </w:p>
        </w:tc>
        <w:tc>
          <w:tcPr>
            <w:tcW w:w="3544" w:type="dxa"/>
            <w:tcBorders>
              <w:top w:val="single" w:sz="4" w:space="0" w:color="auto"/>
              <w:left w:val="single" w:sz="4" w:space="0" w:color="auto"/>
              <w:bottom w:val="single" w:sz="4" w:space="0" w:color="auto"/>
              <w:right w:val="single" w:sz="4" w:space="0" w:color="auto"/>
            </w:tcBorders>
          </w:tcPr>
          <w:p w:rsidR="00686A8F" w:rsidRPr="004A73DA" w:rsidRDefault="00686A8F" w:rsidP="00686A8F">
            <w:pPr>
              <w:rPr>
                <w:rFonts w:ascii="Arial" w:hAnsi="Arial" w:cs="Arial"/>
              </w:rPr>
            </w:pPr>
            <w:r w:rsidRPr="004A73DA">
              <w:rPr>
                <w:rFonts w:ascii="Arial" w:hAnsi="Arial" w:cs="Arial"/>
              </w:rPr>
              <w:t>We will evaluate the success criteria set out within the Strategy to include an analysis of protected characterises and action will be taken as relevant.</w:t>
            </w:r>
          </w:p>
          <w:p w:rsidR="00E1347A" w:rsidRPr="004A73DA" w:rsidRDefault="00E1347A">
            <w:pPr>
              <w:rPr>
                <w:rFonts w:ascii="Arial" w:hAnsi="Arial" w:cs="Arial"/>
              </w:rPr>
            </w:pPr>
          </w:p>
          <w:p w:rsidR="00E1347A" w:rsidRPr="004A73DA" w:rsidRDefault="00E1347A">
            <w:pPr>
              <w:rPr>
                <w:rFonts w:ascii="Arial" w:hAnsi="Arial" w:cs="Arial"/>
              </w:rPr>
            </w:pP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4</w:t>
            </w:r>
          </w:p>
        </w:tc>
        <w:tc>
          <w:tcPr>
            <w:tcW w:w="1947" w:type="dxa"/>
            <w:tcBorders>
              <w:top w:val="single" w:sz="4" w:space="0" w:color="auto"/>
              <w:left w:val="single" w:sz="4" w:space="0" w:color="auto"/>
              <w:bottom w:val="single" w:sz="4" w:space="0" w:color="auto"/>
              <w:right w:val="single" w:sz="4" w:space="0" w:color="auto"/>
            </w:tcBorders>
          </w:tcPr>
          <w:p w:rsidR="00E1347A" w:rsidRPr="004A73DA" w:rsidRDefault="00E1347A">
            <w:pPr>
              <w:rPr>
                <w:rFonts w:ascii="Arial" w:hAnsi="Arial" w:cs="Arial"/>
              </w:rPr>
            </w:pPr>
            <w:r w:rsidRPr="004A73DA">
              <w:rPr>
                <w:rFonts w:ascii="Arial" w:hAnsi="Arial" w:cs="Arial"/>
              </w:rPr>
              <w:t>Plan sufficient services and provision to be available within the community</w:t>
            </w:r>
          </w:p>
          <w:p w:rsidR="00E1347A" w:rsidRPr="004A73DA" w:rsidRDefault="00E1347A">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 xml:space="preserve">Gaps in services as they affect children and their families with protected characterises will be addressed where a need is identified. </w:t>
            </w:r>
          </w:p>
        </w:tc>
        <w:tc>
          <w:tcPr>
            <w:tcW w:w="3544" w:type="dxa"/>
            <w:tcBorders>
              <w:top w:val="single" w:sz="4" w:space="0" w:color="auto"/>
              <w:left w:val="single" w:sz="4" w:space="0" w:color="auto"/>
              <w:bottom w:val="single" w:sz="4" w:space="0" w:color="auto"/>
              <w:right w:val="single" w:sz="4" w:space="0" w:color="auto"/>
            </w:tcBorders>
          </w:tcPr>
          <w:p w:rsidR="00686A8F" w:rsidRPr="004A73DA" w:rsidRDefault="00686A8F" w:rsidP="00686A8F">
            <w:pPr>
              <w:rPr>
                <w:rFonts w:ascii="Arial" w:hAnsi="Arial" w:cs="Arial"/>
              </w:rPr>
            </w:pPr>
            <w:r w:rsidRPr="004A73DA">
              <w:rPr>
                <w:rFonts w:ascii="Arial" w:hAnsi="Arial" w:cs="Arial"/>
              </w:rPr>
              <w:t>We will evaluate the success criteria set out within the Strategy to include an analysis of protected characterises and action will be taken as relevant.</w:t>
            </w:r>
          </w:p>
          <w:p w:rsidR="00E1347A" w:rsidRPr="004A73DA" w:rsidRDefault="00E1347A">
            <w:pPr>
              <w:rPr>
                <w:rFonts w:ascii="Arial" w:hAnsi="Arial" w:cs="Arial"/>
              </w:rPr>
            </w:pP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5</w:t>
            </w:r>
          </w:p>
        </w:tc>
        <w:tc>
          <w:tcPr>
            <w:tcW w:w="1947"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Plan transitions from pre-school into Primary and Pre-school into Secondary</w:t>
            </w: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We will determine if all transition</w:t>
            </w:r>
            <w:r w:rsidR="00686A8F" w:rsidRPr="004A73DA">
              <w:rPr>
                <w:rFonts w:ascii="Arial" w:hAnsi="Arial" w:cs="Arial"/>
              </w:rPr>
              <w:t>s</w:t>
            </w:r>
            <w:r w:rsidRPr="004A73DA">
              <w:rPr>
                <w:rFonts w:ascii="Arial" w:hAnsi="Arial" w:cs="Arial"/>
              </w:rPr>
              <w:t xml:space="preserve"> are smooth for children with protected characteristics</w:t>
            </w:r>
          </w:p>
        </w:tc>
        <w:tc>
          <w:tcPr>
            <w:tcW w:w="3544" w:type="dxa"/>
            <w:tcBorders>
              <w:top w:val="single" w:sz="4" w:space="0" w:color="auto"/>
              <w:left w:val="single" w:sz="4" w:space="0" w:color="auto"/>
              <w:bottom w:val="single" w:sz="4" w:space="0" w:color="auto"/>
              <w:right w:val="single" w:sz="4" w:space="0" w:color="auto"/>
            </w:tcBorders>
          </w:tcPr>
          <w:p w:rsidR="00686A8F" w:rsidRPr="004A73DA" w:rsidRDefault="00686A8F" w:rsidP="00686A8F">
            <w:pPr>
              <w:rPr>
                <w:rFonts w:ascii="Arial" w:hAnsi="Arial" w:cs="Arial"/>
              </w:rPr>
            </w:pPr>
            <w:r w:rsidRPr="004A73DA">
              <w:rPr>
                <w:rFonts w:ascii="Arial" w:hAnsi="Arial" w:cs="Arial"/>
              </w:rPr>
              <w:t>We will evaluate the success criteria set out within the Strategy to include an analysis of protected characterises and action will be taken as relevant.</w:t>
            </w:r>
          </w:p>
          <w:p w:rsidR="00E1347A" w:rsidRPr="004A73DA" w:rsidRDefault="00E1347A">
            <w:pPr>
              <w:rPr>
                <w:rFonts w:ascii="Arial" w:hAnsi="Arial" w:cs="Arial"/>
              </w:rPr>
            </w:pPr>
          </w:p>
        </w:tc>
      </w:tr>
      <w:tr w:rsidR="00E1347A" w:rsidRPr="004A73DA" w:rsidTr="004A73DA">
        <w:tc>
          <w:tcPr>
            <w:tcW w:w="571" w:type="dxa"/>
            <w:tcBorders>
              <w:top w:val="single" w:sz="4" w:space="0" w:color="auto"/>
              <w:left w:val="single" w:sz="4" w:space="0" w:color="auto"/>
              <w:bottom w:val="single" w:sz="4" w:space="0" w:color="auto"/>
              <w:right w:val="single" w:sz="4" w:space="0" w:color="auto"/>
            </w:tcBorders>
          </w:tcPr>
          <w:p w:rsidR="00E1347A" w:rsidRPr="004A73DA" w:rsidRDefault="00E1347A">
            <w:pPr>
              <w:rPr>
                <w:rFonts w:ascii="Arial" w:hAnsi="Arial" w:cs="Arial"/>
              </w:rPr>
            </w:pPr>
            <w:r w:rsidRPr="004A73DA">
              <w:rPr>
                <w:rFonts w:ascii="Arial" w:hAnsi="Arial" w:cs="Arial"/>
              </w:rPr>
              <w:t xml:space="preserve">6. </w:t>
            </w:r>
          </w:p>
          <w:p w:rsidR="00E1347A" w:rsidRPr="004A73DA" w:rsidRDefault="00E1347A">
            <w:pPr>
              <w:rPr>
                <w:rFonts w:ascii="Arial" w:hAnsi="Arial" w:cs="Arial"/>
              </w:rPr>
            </w:pPr>
          </w:p>
          <w:p w:rsidR="00E1347A" w:rsidRPr="004A73DA" w:rsidRDefault="00E1347A">
            <w:pPr>
              <w:rPr>
                <w:rFonts w:ascii="Arial" w:hAnsi="Arial" w:cs="Arial"/>
              </w:rPr>
            </w:pPr>
          </w:p>
          <w:p w:rsidR="00E1347A" w:rsidRPr="004A73DA" w:rsidRDefault="00E1347A">
            <w:pPr>
              <w:rPr>
                <w:rFonts w:ascii="Arial" w:hAnsi="Arial" w:cs="Arial"/>
              </w:rPr>
            </w:pPr>
          </w:p>
          <w:p w:rsidR="00E1347A" w:rsidRPr="004A73DA" w:rsidRDefault="00E1347A">
            <w:pP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Support, training and development</w:t>
            </w:r>
          </w:p>
        </w:tc>
        <w:tc>
          <w:tcPr>
            <w:tcW w:w="3969" w:type="dxa"/>
            <w:tcBorders>
              <w:top w:val="single" w:sz="4" w:space="0" w:color="auto"/>
              <w:left w:val="single" w:sz="4" w:space="0" w:color="auto"/>
              <w:bottom w:val="single" w:sz="4" w:space="0" w:color="auto"/>
              <w:right w:val="single" w:sz="4" w:space="0" w:color="auto"/>
            </w:tcBorders>
            <w:hideMark/>
          </w:tcPr>
          <w:p w:rsidR="00E1347A" w:rsidRPr="004A73DA" w:rsidRDefault="00D875CD">
            <w:pPr>
              <w:rPr>
                <w:rFonts w:ascii="Arial" w:hAnsi="Arial" w:cs="Arial"/>
              </w:rPr>
            </w:pPr>
            <w:r w:rsidRPr="004A73DA">
              <w:rPr>
                <w:rFonts w:ascii="Arial" w:hAnsi="Arial" w:cs="Arial"/>
              </w:rPr>
              <w:t>We will plan for p</w:t>
            </w:r>
            <w:r w:rsidR="00E1347A" w:rsidRPr="004A73DA">
              <w:rPr>
                <w:rFonts w:ascii="Arial" w:hAnsi="Arial" w:cs="Arial"/>
              </w:rPr>
              <w:t>ractitioners and services have the training, support and development required to support children and their families taking account of relevant needs associated with protected characteristics</w:t>
            </w:r>
            <w:r w:rsidR="00686A8F" w:rsidRPr="004A73DA">
              <w:rPr>
                <w:rFonts w:ascii="Arial" w:hAnsi="Arial" w:cs="Arial"/>
              </w:rPr>
              <w:t>.</w:t>
            </w:r>
          </w:p>
          <w:p w:rsidR="00686A8F" w:rsidRPr="004A73DA" w:rsidRDefault="00686A8F">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rsidR="00E1347A" w:rsidRPr="004A73DA" w:rsidRDefault="00E1347A">
            <w:pPr>
              <w:rPr>
                <w:rFonts w:ascii="Arial" w:hAnsi="Arial" w:cs="Arial"/>
              </w:rPr>
            </w:pPr>
            <w:r w:rsidRPr="004A73DA">
              <w:rPr>
                <w:rFonts w:ascii="Arial" w:hAnsi="Arial" w:cs="Arial"/>
              </w:rPr>
              <w:t>The skills will support the implementation of the SEND Strategy for children and families with protected characteristics</w:t>
            </w:r>
            <w:r w:rsidR="00686A8F" w:rsidRPr="004A73DA">
              <w:rPr>
                <w:rFonts w:ascii="Arial" w:hAnsi="Arial" w:cs="Arial"/>
              </w:rPr>
              <w:t>.</w:t>
            </w:r>
          </w:p>
        </w:tc>
      </w:tr>
    </w:tbl>
    <w:p w:rsidR="00E1347A" w:rsidRPr="002C6CE4" w:rsidRDefault="00E1347A" w:rsidP="00E1347A">
      <w:pPr>
        <w:rPr>
          <w:rFonts w:cs="Arial"/>
          <w:sz w:val="22"/>
          <w:szCs w:val="22"/>
        </w:rPr>
      </w:pPr>
    </w:p>
    <w:p w:rsidR="004A73DA" w:rsidRPr="002C6CE4" w:rsidRDefault="004A73DA">
      <w:pPr>
        <w:rPr>
          <w:rFonts w:cs="Arial"/>
          <w:sz w:val="22"/>
          <w:szCs w:val="22"/>
        </w:rPr>
      </w:pPr>
    </w:p>
    <w:p w:rsidR="006F4EF7" w:rsidRDefault="006F4EF7">
      <w:pPr>
        <w:rPr>
          <w:rFonts w:cs="Arial"/>
          <w:sz w:val="22"/>
          <w:szCs w:val="22"/>
        </w:rPr>
      </w:pPr>
      <w:r>
        <w:rPr>
          <w:rFonts w:cs="Arial"/>
          <w:sz w:val="22"/>
          <w:szCs w:val="22"/>
        </w:rPr>
        <w:br w:type="page"/>
      </w:r>
    </w:p>
    <w:p w:rsidR="002C6CE4" w:rsidRPr="002C6CE4" w:rsidRDefault="002C334F" w:rsidP="002C334F">
      <w:pPr>
        <w:rPr>
          <w:rFonts w:cs="Arial"/>
          <w:sz w:val="22"/>
          <w:szCs w:val="22"/>
        </w:rPr>
      </w:pPr>
      <w:r w:rsidRPr="002C6CE4">
        <w:rPr>
          <w:rFonts w:cs="Arial"/>
          <w:sz w:val="22"/>
          <w:szCs w:val="22"/>
        </w:rPr>
        <w:lastRenderedPageBreak/>
        <w:t>It is clear that the SEND Strategy focuses on the protected characteristic of “Disability”</w:t>
      </w:r>
      <w:r w:rsidRPr="002C6CE4">
        <w:rPr>
          <w:sz w:val="22"/>
          <w:szCs w:val="22"/>
        </w:rPr>
        <w:t xml:space="preserve"> and seeks to enable </w:t>
      </w:r>
      <w:r w:rsidRPr="002C6CE4">
        <w:rPr>
          <w:rFonts w:cs="Arial"/>
          <w:sz w:val="22"/>
          <w:szCs w:val="22"/>
        </w:rPr>
        <w:t>children with SEND to achieve their potential in a safe, caring and supportive community (as stated in the vision).  As such, the entire St</w:t>
      </w:r>
      <w:r w:rsidR="002C6CE4" w:rsidRPr="002C6CE4">
        <w:rPr>
          <w:rFonts w:cs="Arial"/>
          <w:sz w:val="22"/>
          <w:szCs w:val="22"/>
        </w:rPr>
        <w:t>rategy is based on the principle</w:t>
      </w:r>
      <w:r w:rsidRPr="002C6CE4">
        <w:rPr>
          <w:rFonts w:cs="Arial"/>
          <w:sz w:val="22"/>
          <w:szCs w:val="22"/>
        </w:rPr>
        <w:t xml:space="preserve"> of equality</w:t>
      </w:r>
      <w:r w:rsidR="002C6CE4" w:rsidRPr="002C6CE4">
        <w:rPr>
          <w:rFonts w:cs="Arial"/>
          <w:sz w:val="22"/>
          <w:szCs w:val="22"/>
        </w:rPr>
        <w:t xml:space="preserve"> and facilitating and ensuring equality of opportunity for young people with SEN</w:t>
      </w:r>
      <w:r w:rsidR="00282F2D">
        <w:rPr>
          <w:rFonts w:cs="Arial"/>
          <w:sz w:val="22"/>
          <w:szCs w:val="22"/>
        </w:rPr>
        <w:t>D</w:t>
      </w:r>
      <w:r w:rsidR="002C6CE4" w:rsidRPr="002C6CE4">
        <w:rPr>
          <w:rFonts w:cs="Arial"/>
          <w:sz w:val="22"/>
          <w:szCs w:val="22"/>
        </w:rPr>
        <w:t>.</w:t>
      </w:r>
    </w:p>
    <w:p w:rsidR="002C6CE4" w:rsidRPr="002C6CE4" w:rsidRDefault="002C6CE4" w:rsidP="002C334F">
      <w:pPr>
        <w:rPr>
          <w:rFonts w:cs="Arial"/>
          <w:sz w:val="22"/>
          <w:szCs w:val="22"/>
        </w:rPr>
      </w:pPr>
    </w:p>
    <w:p w:rsidR="002C334F" w:rsidRPr="002C6CE4" w:rsidRDefault="002C6CE4" w:rsidP="002C334F">
      <w:pPr>
        <w:rPr>
          <w:rFonts w:cs="Arial"/>
          <w:sz w:val="22"/>
          <w:szCs w:val="22"/>
        </w:rPr>
      </w:pPr>
      <w:r w:rsidRPr="002C6CE4">
        <w:rPr>
          <w:rFonts w:cs="Arial"/>
          <w:sz w:val="22"/>
          <w:szCs w:val="22"/>
        </w:rPr>
        <w:t>Even</w:t>
      </w:r>
      <w:r w:rsidR="003B0204">
        <w:rPr>
          <w:rFonts w:cs="Arial"/>
          <w:sz w:val="22"/>
          <w:szCs w:val="22"/>
        </w:rPr>
        <w:t xml:space="preserve"> though the key group impacted by</w:t>
      </w:r>
      <w:r w:rsidR="00AA47F6">
        <w:rPr>
          <w:rFonts w:cs="Arial"/>
          <w:sz w:val="22"/>
          <w:szCs w:val="22"/>
        </w:rPr>
        <w:t xml:space="preserve"> </w:t>
      </w:r>
      <w:r w:rsidRPr="002C6CE4">
        <w:rPr>
          <w:rFonts w:cs="Arial"/>
          <w:sz w:val="22"/>
          <w:szCs w:val="22"/>
        </w:rPr>
        <w:t>the Strategy and its key actions will fall under the Equality Act 2010 definition of “Disability”, it is important that the full range of protected characteristics are considered.  In this respect, it is true to say that even though the Strategy focusses on young people with SEN</w:t>
      </w:r>
      <w:r w:rsidR="00282F2D">
        <w:rPr>
          <w:rFonts w:cs="Arial"/>
          <w:sz w:val="22"/>
          <w:szCs w:val="22"/>
        </w:rPr>
        <w:t>D</w:t>
      </w:r>
      <w:r w:rsidRPr="002C6CE4">
        <w:rPr>
          <w:rFonts w:cs="Arial"/>
          <w:sz w:val="22"/>
          <w:szCs w:val="22"/>
        </w:rPr>
        <w:t>, all of those young people will be additionally protected by the characteristics of ‘Race’, ‘Age’, ‘Sex’, ‘Sexual Orientation’ and Religion/Belief’</w:t>
      </w:r>
      <w:r w:rsidR="00335342">
        <w:rPr>
          <w:rFonts w:cs="Arial"/>
          <w:sz w:val="22"/>
          <w:szCs w:val="22"/>
        </w:rPr>
        <w:t xml:space="preserve"> (it is anticipated that </w:t>
      </w:r>
      <w:r w:rsidR="00335342" w:rsidRPr="002C6CE4">
        <w:rPr>
          <w:rFonts w:cs="Arial"/>
          <w:sz w:val="22"/>
          <w:szCs w:val="22"/>
        </w:rPr>
        <w:t>the c</w:t>
      </w:r>
      <w:r w:rsidR="00335342">
        <w:rPr>
          <w:rFonts w:cs="Arial"/>
          <w:sz w:val="22"/>
          <w:szCs w:val="22"/>
        </w:rPr>
        <w:t>haracteristics of ‘Race’, ‘Age’ and</w:t>
      </w:r>
      <w:r w:rsidR="00335342" w:rsidRPr="002C6CE4">
        <w:rPr>
          <w:rFonts w:cs="Arial"/>
          <w:sz w:val="22"/>
          <w:szCs w:val="22"/>
        </w:rPr>
        <w:t xml:space="preserve"> ‘Sex’</w:t>
      </w:r>
      <w:r w:rsidR="00335342">
        <w:rPr>
          <w:rFonts w:cs="Arial"/>
          <w:sz w:val="22"/>
          <w:szCs w:val="22"/>
        </w:rPr>
        <w:t xml:space="preserve"> are the most relevant).</w:t>
      </w:r>
    </w:p>
    <w:p w:rsidR="002C6CE4" w:rsidRPr="002C6CE4" w:rsidRDefault="002C6CE4" w:rsidP="002C334F">
      <w:pPr>
        <w:rPr>
          <w:rFonts w:cs="Arial"/>
          <w:sz w:val="22"/>
          <w:szCs w:val="22"/>
        </w:rPr>
      </w:pPr>
    </w:p>
    <w:p w:rsidR="002C6CE4" w:rsidRPr="002C6CE4" w:rsidRDefault="002C6CE4" w:rsidP="002C6CE4">
      <w:pPr>
        <w:rPr>
          <w:rFonts w:cs="Arial"/>
          <w:sz w:val="22"/>
          <w:szCs w:val="22"/>
        </w:rPr>
      </w:pPr>
      <w:r w:rsidRPr="002C6CE4">
        <w:rPr>
          <w:rFonts w:cs="Arial"/>
          <w:sz w:val="22"/>
          <w:szCs w:val="22"/>
        </w:rPr>
        <w:t xml:space="preserve">An important over-arching point to </w:t>
      </w:r>
      <w:proofErr w:type="gramStart"/>
      <w:r w:rsidRPr="002C6CE4">
        <w:rPr>
          <w:rFonts w:cs="Arial"/>
          <w:sz w:val="22"/>
          <w:szCs w:val="22"/>
        </w:rPr>
        <w:t>raise</w:t>
      </w:r>
      <w:proofErr w:type="gramEnd"/>
      <w:r w:rsidRPr="002C6CE4">
        <w:rPr>
          <w:rFonts w:cs="Arial"/>
          <w:sz w:val="22"/>
          <w:szCs w:val="22"/>
        </w:rPr>
        <w:t xml:space="preserve"> in respect of the above is th</w:t>
      </w:r>
      <w:r w:rsidR="00AA47F6">
        <w:rPr>
          <w:rFonts w:cs="Arial"/>
          <w:sz w:val="22"/>
          <w:szCs w:val="22"/>
        </w:rPr>
        <w:t xml:space="preserve">at the SEND Strategy sets out </w:t>
      </w:r>
      <w:r w:rsidR="00DF1E40">
        <w:rPr>
          <w:rFonts w:cs="Arial"/>
          <w:sz w:val="22"/>
          <w:szCs w:val="22"/>
        </w:rPr>
        <w:t>six priorities and key themes to be de</w:t>
      </w:r>
      <w:r w:rsidR="00AA47F6">
        <w:rPr>
          <w:rFonts w:cs="Arial"/>
          <w:sz w:val="22"/>
          <w:szCs w:val="22"/>
        </w:rPr>
        <w:t xml:space="preserve">livered for each priority area and a detailed action plan will be written to include these equalities related actions. </w:t>
      </w:r>
      <w:r w:rsidRPr="002C6CE4">
        <w:rPr>
          <w:rFonts w:cs="Arial"/>
          <w:sz w:val="22"/>
          <w:szCs w:val="22"/>
        </w:rPr>
        <w:t xml:space="preserve">As such, </w:t>
      </w:r>
      <w:r>
        <w:rPr>
          <w:rFonts w:cs="Arial"/>
          <w:sz w:val="22"/>
          <w:szCs w:val="22"/>
        </w:rPr>
        <w:t xml:space="preserve">this </w:t>
      </w:r>
      <w:proofErr w:type="spellStart"/>
      <w:r>
        <w:rPr>
          <w:rFonts w:cs="Arial"/>
          <w:sz w:val="22"/>
          <w:szCs w:val="22"/>
        </w:rPr>
        <w:t>EqIAA</w:t>
      </w:r>
      <w:proofErr w:type="spellEnd"/>
      <w:r>
        <w:rPr>
          <w:rFonts w:cs="Arial"/>
          <w:sz w:val="22"/>
          <w:szCs w:val="22"/>
        </w:rPr>
        <w:t xml:space="preserve"> has determined</w:t>
      </w:r>
      <w:r w:rsidRPr="002C6CE4">
        <w:rPr>
          <w:rFonts w:cs="Arial"/>
          <w:sz w:val="22"/>
          <w:szCs w:val="22"/>
        </w:rPr>
        <w:t xml:space="preserve"> to ensure that these </w:t>
      </w:r>
      <w:r w:rsidR="00D02AFF">
        <w:rPr>
          <w:rFonts w:cs="Arial"/>
          <w:sz w:val="22"/>
          <w:szCs w:val="22"/>
        </w:rPr>
        <w:t xml:space="preserve">key themes </w:t>
      </w:r>
      <w:r w:rsidRPr="002C6CE4">
        <w:rPr>
          <w:rFonts w:cs="Arial"/>
          <w:sz w:val="22"/>
          <w:szCs w:val="22"/>
        </w:rPr>
        <w:t>are analysed on an ongoing basis in respect of equalities issues and that the SEND Partnership Board have the skills to support, challenge and oversee this analysis, defining development actions as appropriate.  This approach will ensure that issues pertaining to equalities are proactively identified and action to address issues is defined, delivered and monitored as a core and ongoing element of the delivery of the Strategy.  This approach will ‘mainstream’ equalities as being fundamental and a central element of the successful delivery of the Strategy.</w:t>
      </w:r>
    </w:p>
    <w:p w:rsidR="002C6CE4" w:rsidRPr="002C6CE4" w:rsidRDefault="002C6CE4" w:rsidP="002C334F">
      <w:pPr>
        <w:rPr>
          <w:rFonts w:cs="Arial"/>
          <w:sz w:val="22"/>
          <w:szCs w:val="22"/>
        </w:rPr>
      </w:pPr>
    </w:p>
    <w:p w:rsidR="002C6CE4" w:rsidRPr="002C334F" w:rsidRDefault="002C6CE4" w:rsidP="002C334F">
      <w:pPr>
        <w:rPr>
          <w:rFonts w:cs="Arial"/>
          <w:szCs w:val="24"/>
        </w:rPr>
      </w:pPr>
    </w:p>
    <w:p w:rsidR="00686A8F" w:rsidRDefault="00686A8F">
      <w:pPr>
        <w:rPr>
          <w:rFonts w:cs="Arial"/>
          <w:b/>
          <w:szCs w:val="24"/>
        </w:rPr>
      </w:pPr>
      <w:r>
        <w:rPr>
          <w:rFonts w:cs="Arial"/>
          <w:b/>
          <w:szCs w:val="24"/>
        </w:rPr>
        <w:br w:type="page"/>
      </w:r>
    </w:p>
    <w:p w:rsidR="005A1386" w:rsidRPr="00D875CD" w:rsidRDefault="005A1386" w:rsidP="00E1347A">
      <w:pPr>
        <w:rPr>
          <w:rFonts w:cs="Arial"/>
          <w:b/>
          <w:sz w:val="28"/>
          <w:szCs w:val="28"/>
        </w:rPr>
      </w:pPr>
      <w:r w:rsidRPr="00D875CD">
        <w:rPr>
          <w:rFonts w:cs="Arial"/>
          <w:b/>
          <w:sz w:val="28"/>
          <w:szCs w:val="28"/>
        </w:rPr>
        <w:lastRenderedPageBreak/>
        <w:t xml:space="preserve">SECTION 4 - </w:t>
      </w:r>
      <w:proofErr w:type="spellStart"/>
      <w:r w:rsidRPr="00D875CD">
        <w:rPr>
          <w:rFonts w:cs="Arial"/>
          <w:b/>
          <w:sz w:val="28"/>
          <w:szCs w:val="28"/>
        </w:rPr>
        <w:t>EqIAA</w:t>
      </w:r>
      <w:proofErr w:type="spellEnd"/>
      <w:r w:rsidRPr="00D875CD">
        <w:rPr>
          <w:rFonts w:cs="Arial"/>
          <w:b/>
          <w:sz w:val="28"/>
          <w:szCs w:val="28"/>
        </w:rPr>
        <w:t xml:space="preserve"> OUTCOME</w:t>
      </w:r>
    </w:p>
    <w:p w:rsidR="00E1347A" w:rsidRPr="00433363" w:rsidRDefault="00E1347A" w:rsidP="005A1386">
      <w:pPr>
        <w:pStyle w:val="NoSpacing"/>
        <w:rPr>
          <w:rFonts w:ascii="Arial" w:eastAsia="Times New Roman" w:hAnsi="Arial" w:cs="Arial"/>
          <w:color w:val="FF0000"/>
          <w:lang w:eastAsia="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1911"/>
        <w:gridCol w:w="4644"/>
      </w:tblGrid>
      <w:tr w:rsidR="005A1386" w:rsidRPr="00433363" w:rsidTr="00D875CD">
        <w:tc>
          <w:tcPr>
            <w:tcW w:w="3300" w:type="dxa"/>
            <w:shd w:val="clear" w:color="auto" w:fill="FFFF00"/>
          </w:tcPr>
          <w:p w:rsidR="005A1386" w:rsidRPr="00433363" w:rsidRDefault="005A1386" w:rsidP="003337C2">
            <w:pPr>
              <w:pStyle w:val="NoSpacing"/>
              <w:jc w:val="center"/>
              <w:rPr>
                <w:rFonts w:ascii="Arial" w:hAnsi="Arial" w:cs="Arial"/>
                <w:b/>
              </w:rPr>
            </w:pPr>
          </w:p>
          <w:p w:rsidR="005A1386" w:rsidRPr="00433363" w:rsidRDefault="005A1386" w:rsidP="003337C2">
            <w:pPr>
              <w:pStyle w:val="NoSpacing"/>
              <w:jc w:val="center"/>
              <w:rPr>
                <w:rFonts w:ascii="Arial" w:hAnsi="Arial" w:cs="Arial"/>
                <w:b/>
              </w:rPr>
            </w:pPr>
            <w:r w:rsidRPr="00433363">
              <w:rPr>
                <w:rFonts w:ascii="Arial" w:hAnsi="Arial" w:cs="Arial"/>
                <w:b/>
              </w:rPr>
              <w:t>Outcome</w:t>
            </w:r>
          </w:p>
          <w:p w:rsidR="006D3B16" w:rsidRPr="00433363" w:rsidRDefault="006D3B16" w:rsidP="003337C2">
            <w:pPr>
              <w:pStyle w:val="NoSpacing"/>
              <w:jc w:val="center"/>
              <w:rPr>
                <w:rFonts w:ascii="Arial" w:hAnsi="Arial" w:cs="Arial"/>
                <w:b/>
              </w:rPr>
            </w:pPr>
          </w:p>
        </w:tc>
        <w:tc>
          <w:tcPr>
            <w:tcW w:w="1911" w:type="dxa"/>
            <w:shd w:val="clear" w:color="auto" w:fill="FFFF00"/>
          </w:tcPr>
          <w:p w:rsidR="006D3B16" w:rsidRPr="00433363" w:rsidRDefault="006D3B16" w:rsidP="003337C2">
            <w:pPr>
              <w:pStyle w:val="NoSpacing"/>
              <w:jc w:val="center"/>
              <w:rPr>
                <w:rFonts w:ascii="Arial" w:hAnsi="Arial" w:cs="Arial"/>
                <w:b/>
              </w:rPr>
            </w:pPr>
          </w:p>
          <w:p w:rsidR="005A1386" w:rsidRPr="00433363" w:rsidRDefault="005A1386" w:rsidP="003337C2">
            <w:pPr>
              <w:pStyle w:val="NoSpacing"/>
              <w:jc w:val="center"/>
              <w:rPr>
                <w:rFonts w:ascii="Arial" w:hAnsi="Arial" w:cs="Arial"/>
                <w:b/>
              </w:rPr>
            </w:pPr>
            <w:r w:rsidRPr="00433363">
              <w:rPr>
                <w:rFonts w:ascii="Arial" w:hAnsi="Arial" w:cs="Arial"/>
                <w:b/>
              </w:rPr>
              <w:t>Response</w:t>
            </w:r>
          </w:p>
        </w:tc>
        <w:tc>
          <w:tcPr>
            <w:tcW w:w="4644" w:type="dxa"/>
            <w:shd w:val="clear" w:color="auto" w:fill="FFFF00"/>
          </w:tcPr>
          <w:p w:rsidR="006D3B16" w:rsidRPr="00433363" w:rsidRDefault="006D3B16" w:rsidP="003337C2">
            <w:pPr>
              <w:pStyle w:val="NoSpacing"/>
              <w:jc w:val="center"/>
              <w:rPr>
                <w:rFonts w:ascii="Arial" w:hAnsi="Arial" w:cs="Arial"/>
                <w:b/>
              </w:rPr>
            </w:pPr>
          </w:p>
          <w:p w:rsidR="005A1386" w:rsidRPr="00433363" w:rsidRDefault="005A1386" w:rsidP="003337C2">
            <w:pPr>
              <w:pStyle w:val="NoSpacing"/>
              <w:jc w:val="center"/>
              <w:rPr>
                <w:rFonts w:ascii="Arial" w:hAnsi="Arial" w:cs="Arial"/>
                <w:b/>
              </w:rPr>
            </w:pPr>
            <w:r w:rsidRPr="00433363">
              <w:rPr>
                <w:rFonts w:ascii="Arial" w:hAnsi="Arial" w:cs="Arial"/>
                <w:b/>
              </w:rPr>
              <w:t>Reason(s) and Justification</w:t>
            </w:r>
          </w:p>
        </w:tc>
      </w:tr>
      <w:tr w:rsidR="005A1386" w:rsidRPr="00433363" w:rsidTr="00D875CD">
        <w:tc>
          <w:tcPr>
            <w:tcW w:w="3300" w:type="dxa"/>
          </w:tcPr>
          <w:p w:rsidR="005A1386" w:rsidRPr="00433363" w:rsidRDefault="005A1386" w:rsidP="003337C2">
            <w:pPr>
              <w:pStyle w:val="NoSpacing"/>
              <w:rPr>
                <w:rFonts w:ascii="Arial" w:hAnsi="Arial" w:cs="Arial"/>
              </w:rPr>
            </w:pPr>
            <w:r w:rsidRPr="00433363">
              <w:rPr>
                <w:rFonts w:ascii="Arial" w:hAnsi="Arial" w:cs="Arial"/>
              </w:rPr>
              <w:t>Outcome 1: No major change required.</w:t>
            </w:r>
          </w:p>
        </w:tc>
        <w:tc>
          <w:tcPr>
            <w:tcW w:w="1911" w:type="dxa"/>
          </w:tcPr>
          <w:p w:rsidR="005A1386" w:rsidRPr="00433363" w:rsidRDefault="005A1386" w:rsidP="003337C2">
            <w:pPr>
              <w:pStyle w:val="NoSpacing"/>
              <w:jc w:val="center"/>
              <w:rPr>
                <w:rFonts w:ascii="Arial" w:hAnsi="Arial" w:cs="Arial"/>
              </w:rPr>
            </w:pPr>
            <w:r w:rsidRPr="00433363">
              <w:rPr>
                <w:rFonts w:ascii="Arial" w:hAnsi="Arial" w:cs="Arial"/>
              </w:rPr>
              <w:fldChar w:fldCharType="begin">
                <w:ffData>
                  <w:name w:val=""/>
                  <w:enabled/>
                  <w:calcOnExit w:val="0"/>
                  <w:checkBox>
                    <w:sizeAuto/>
                    <w:default w:val="0"/>
                  </w:checkBox>
                </w:ffData>
              </w:fldChar>
            </w:r>
            <w:r w:rsidRPr="00433363">
              <w:rPr>
                <w:rFonts w:ascii="Arial" w:hAnsi="Arial" w:cs="Arial"/>
              </w:rPr>
              <w:instrText xml:space="preserve"> FORMCHECKBOX </w:instrText>
            </w:r>
            <w:r w:rsidR="008A07B4">
              <w:rPr>
                <w:rFonts w:ascii="Arial" w:hAnsi="Arial" w:cs="Arial"/>
              </w:rPr>
            </w:r>
            <w:r w:rsidR="008A07B4">
              <w:rPr>
                <w:rFonts w:ascii="Arial" w:hAnsi="Arial" w:cs="Arial"/>
              </w:rPr>
              <w:fldChar w:fldCharType="separate"/>
            </w:r>
            <w:r w:rsidRPr="00433363">
              <w:rPr>
                <w:rFonts w:ascii="Arial" w:hAnsi="Arial" w:cs="Arial"/>
              </w:rPr>
              <w:fldChar w:fldCharType="end"/>
            </w:r>
          </w:p>
          <w:p w:rsidR="005A1386" w:rsidRPr="00433363" w:rsidRDefault="005A1386" w:rsidP="003337C2">
            <w:pPr>
              <w:pStyle w:val="NoSpacing"/>
              <w:jc w:val="center"/>
              <w:rPr>
                <w:rFonts w:ascii="Arial" w:hAnsi="Arial" w:cs="Arial"/>
                <w:i/>
              </w:rPr>
            </w:pPr>
          </w:p>
        </w:tc>
        <w:tc>
          <w:tcPr>
            <w:tcW w:w="4644" w:type="dxa"/>
          </w:tcPr>
          <w:p w:rsidR="005A1386" w:rsidRPr="00433363" w:rsidRDefault="005A1386" w:rsidP="003337C2">
            <w:pPr>
              <w:pStyle w:val="NoSpacing"/>
              <w:rPr>
                <w:rFonts w:ascii="Arial" w:hAnsi="Arial" w:cs="Arial"/>
              </w:rPr>
            </w:pPr>
          </w:p>
        </w:tc>
      </w:tr>
      <w:tr w:rsidR="005A1386" w:rsidRPr="00433363" w:rsidTr="00D875CD">
        <w:tc>
          <w:tcPr>
            <w:tcW w:w="3300" w:type="dxa"/>
          </w:tcPr>
          <w:p w:rsidR="005A1386" w:rsidRPr="00433363" w:rsidRDefault="005A1386" w:rsidP="003337C2">
            <w:pPr>
              <w:pStyle w:val="NoSpacing"/>
              <w:rPr>
                <w:rFonts w:ascii="Arial" w:hAnsi="Arial" w:cs="Arial"/>
              </w:rPr>
            </w:pPr>
            <w:r w:rsidRPr="00433363">
              <w:rPr>
                <w:rFonts w:ascii="Arial" w:hAnsi="Arial" w:cs="Arial"/>
              </w:rPr>
              <w:t>Outcome 2: Adjustments to remove barriers or to better promote equality have been identified.</w:t>
            </w:r>
          </w:p>
        </w:tc>
        <w:tc>
          <w:tcPr>
            <w:tcW w:w="1911" w:type="dxa"/>
          </w:tcPr>
          <w:p w:rsidR="005A1386" w:rsidRPr="00433363" w:rsidRDefault="002C6CE4" w:rsidP="003337C2">
            <w:pPr>
              <w:pStyle w:val="NoSpacing"/>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8A07B4">
              <w:rPr>
                <w:rFonts w:ascii="Arial" w:hAnsi="Arial" w:cs="Arial"/>
              </w:rPr>
            </w:r>
            <w:r w:rsidR="008A07B4">
              <w:rPr>
                <w:rFonts w:ascii="Arial" w:hAnsi="Arial" w:cs="Arial"/>
              </w:rPr>
              <w:fldChar w:fldCharType="separate"/>
            </w:r>
            <w:r>
              <w:rPr>
                <w:rFonts w:ascii="Arial" w:hAnsi="Arial" w:cs="Arial"/>
              </w:rPr>
              <w:fldChar w:fldCharType="end"/>
            </w:r>
          </w:p>
          <w:p w:rsidR="005A1386" w:rsidRPr="00433363" w:rsidRDefault="005A1386" w:rsidP="003337C2">
            <w:pPr>
              <w:pStyle w:val="NoSpacing"/>
              <w:jc w:val="center"/>
              <w:rPr>
                <w:rFonts w:ascii="Arial" w:hAnsi="Arial" w:cs="Arial"/>
                <w:i/>
              </w:rPr>
            </w:pPr>
          </w:p>
        </w:tc>
        <w:tc>
          <w:tcPr>
            <w:tcW w:w="4644" w:type="dxa"/>
          </w:tcPr>
          <w:p w:rsidR="006F4EF7" w:rsidRDefault="006F4EF7" w:rsidP="006F4EF7">
            <w:pPr>
              <w:pStyle w:val="NoSpacing"/>
              <w:rPr>
                <w:rFonts w:ascii="Arial" w:hAnsi="Arial" w:cs="Arial"/>
              </w:rPr>
            </w:pPr>
            <w:r>
              <w:rPr>
                <w:rFonts w:ascii="Arial" w:hAnsi="Arial" w:cs="Arial"/>
              </w:rPr>
              <w:t>The central purpose of the Strategy itself concerns advancing equality of opportunity for young people with SEND.</w:t>
            </w:r>
          </w:p>
          <w:p w:rsidR="006F4EF7" w:rsidRDefault="006F4EF7" w:rsidP="006F4EF7">
            <w:pPr>
              <w:pStyle w:val="NoSpacing"/>
              <w:rPr>
                <w:rFonts w:ascii="Arial" w:hAnsi="Arial" w:cs="Arial"/>
              </w:rPr>
            </w:pPr>
          </w:p>
          <w:p w:rsidR="005A1386" w:rsidRDefault="006F4EF7" w:rsidP="006F4EF7">
            <w:pPr>
              <w:pStyle w:val="NoSpacing"/>
              <w:rPr>
                <w:rFonts w:ascii="Arial" w:hAnsi="Arial" w:cs="Arial"/>
              </w:rPr>
            </w:pPr>
            <w:r>
              <w:rPr>
                <w:rFonts w:ascii="Arial" w:hAnsi="Arial" w:cs="Arial"/>
              </w:rPr>
              <w:t xml:space="preserve">This </w:t>
            </w:r>
            <w:proofErr w:type="spellStart"/>
            <w:r>
              <w:rPr>
                <w:rFonts w:ascii="Arial" w:hAnsi="Arial" w:cs="Arial"/>
              </w:rPr>
              <w:t>EqIAA</w:t>
            </w:r>
            <w:proofErr w:type="spellEnd"/>
            <w:r>
              <w:rPr>
                <w:rFonts w:ascii="Arial" w:hAnsi="Arial" w:cs="Arial"/>
              </w:rPr>
              <w:t xml:space="preserve"> establishes that protected characteristics in </w:t>
            </w:r>
            <w:r w:rsidR="00C74D07">
              <w:rPr>
                <w:rFonts w:ascii="Arial" w:hAnsi="Arial" w:cs="Arial"/>
              </w:rPr>
              <w:t>addition</w:t>
            </w:r>
            <w:r>
              <w:rPr>
                <w:rFonts w:ascii="Arial" w:hAnsi="Arial" w:cs="Arial"/>
              </w:rPr>
              <w:t xml:space="preserve"> to “Disability” are relevant and has defined actions which will ensure </w:t>
            </w:r>
            <w:r w:rsidR="00C74D07">
              <w:rPr>
                <w:rFonts w:ascii="Arial" w:hAnsi="Arial" w:cs="Arial"/>
              </w:rPr>
              <w:t xml:space="preserve">that </w:t>
            </w:r>
            <w:r>
              <w:rPr>
                <w:rFonts w:ascii="Arial" w:hAnsi="Arial" w:cs="Arial"/>
              </w:rPr>
              <w:t>ongoing monitoring and any resultant improvement action is delivered.</w:t>
            </w:r>
          </w:p>
          <w:p w:rsidR="006F4EF7" w:rsidRDefault="006F4EF7" w:rsidP="006F4EF7">
            <w:pPr>
              <w:pStyle w:val="NoSpacing"/>
              <w:rPr>
                <w:rFonts w:ascii="Arial" w:hAnsi="Arial" w:cs="Arial"/>
              </w:rPr>
            </w:pPr>
          </w:p>
          <w:p w:rsidR="006F4EF7" w:rsidRPr="00433363" w:rsidRDefault="006F4EF7" w:rsidP="006F4EF7">
            <w:pPr>
              <w:pStyle w:val="NoSpacing"/>
              <w:rPr>
                <w:rFonts w:ascii="Arial" w:hAnsi="Arial" w:cs="Arial"/>
              </w:rPr>
            </w:pPr>
            <w:r>
              <w:rPr>
                <w:rFonts w:ascii="Arial" w:hAnsi="Arial" w:cs="Arial"/>
              </w:rPr>
              <w:t>This approach will ensure continuous development in the provision of services for all.</w:t>
            </w:r>
          </w:p>
        </w:tc>
      </w:tr>
      <w:tr w:rsidR="005A1386" w:rsidRPr="00433363" w:rsidTr="00D875CD">
        <w:tc>
          <w:tcPr>
            <w:tcW w:w="3300" w:type="dxa"/>
          </w:tcPr>
          <w:p w:rsidR="005A1386" w:rsidRPr="00433363" w:rsidRDefault="005A1386" w:rsidP="003337C2">
            <w:pPr>
              <w:pStyle w:val="NoSpacing"/>
              <w:rPr>
                <w:rFonts w:ascii="Arial" w:hAnsi="Arial" w:cs="Arial"/>
              </w:rPr>
            </w:pPr>
            <w:r w:rsidRPr="00433363">
              <w:rPr>
                <w:rFonts w:ascii="Arial" w:hAnsi="Arial" w:cs="Arial"/>
              </w:rPr>
              <w:t>Outcome 3: Continue despite having identified potential for adverse impact or missed opportunities to promote equality.</w:t>
            </w:r>
          </w:p>
        </w:tc>
        <w:tc>
          <w:tcPr>
            <w:tcW w:w="1911" w:type="dxa"/>
          </w:tcPr>
          <w:p w:rsidR="005A1386" w:rsidRPr="00433363" w:rsidRDefault="005A1386" w:rsidP="003337C2">
            <w:pPr>
              <w:pStyle w:val="NoSpacing"/>
              <w:jc w:val="center"/>
              <w:rPr>
                <w:rFonts w:ascii="Arial" w:hAnsi="Arial" w:cs="Arial"/>
              </w:rPr>
            </w:pPr>
            <w:r w:rsidRPr="00433363">
              <w:rPr>
                <w:rFonts w:ascii="Arial" w:hAnsi="Arial" w:cs="Arial"/>
              </w:rPr>
              <w:fldChar w:fldCharType="begin">
                <w:ffData>
                  <w:name w:val="Check50"/>
                  <w:enabled/>
                  <w:calcOnExit w:val="0"/>
                  <w:checkBox>
                    <w:sizeAuto/>
                    <w:default w:val="0"/>
                  </w:checkBox>
                </w:ffData>
              </w:fldChar>
            </w:r>
            <w:r w:rsidRPr="00433363">
              <w:rPr>
                <w:rFonts w:ascii="Arial" w:hAnsi="Arial" w:cs="Arial"/>
              </w:rPr>
              <w:instrText xml:space="preserve"> FORMCHECKBOX </w:instrText>
            </w:r>
            <w:r w:rsidR="008A07B4">
              <w:rPr>
                <w:rFonts w:ascii="Arial" w:hAnsi="Arial" w:cs="Arial"/>
              </w:rPr>
            </w:r>
            <w:r w:rsidR="008A07B4">
              <w:rPr>
                <w:rFonts w:ascii="Arial" w:hAnsi="Arial" w:cs="Arial"/>
              </w:rPr>
              <w:fldChar w:fldCharType="separate"/>
            </w:r>
            <w:r w:rsidRPr="00433363">
              <w:rPr>
                <w:rFonts w:ascii="Arial" w:hAnsi="Arial" w:cs="Arial"/>
              </w:rPr>
              <w:fldChar w:fldCharType="end"/>
            </w:r>
          </w:p>
          <w:p w:rsidR="005A1386" w:rsidRPr="00433363" w:rsidRDefault="005A1386" w:rsidP="003337C2">
            <w:pPr>
              <w:pStyle w:val="NoSpacing"/>
              <w:jc w:val="center"/>
              <w:rPr>
                <w:rFonts w:ascii="Arial" w:hAnsi="Arial" w:cs="Arial"/>
                <w:i/>
              </w:rPr>
            </w:pPr>
          </w:p>
        </w:tc>
        <w:tc>
          <w:tcPr>
            <w:tcW w:w="4644" w:type="dxa"/>
          </w:tcPr>
          <w:p w:rsidR="005A1386" w:rsidRPr="00433363" w:rsidRDefault="005A1386" w:rsidP="003337C2">
            <w:pPr>
              <w:pStyle w:val="NoSpacing"/>
              <w:rPr>
                <w:rFonts w:ascii="Arial" w:hAnsi="Arial" w:cs="Arial"/>
              </w:rPr>
            </w:pPr>
          </w:p>
          <w:p w:rsidR="005A1386" w:rsidRPr="00433363" w:rsidRDefault="005A1386" w:rsidP="003337C2">
            <w:pPr>
              <w:pStyle w:val="NoSpacing"/>
              <w:rPr>
                <w:rFonts w:ascii="Arial" w:hAnsi="Arial" w:cs="Arial"/>
              </w:rPr>
            </w:pPr>
          </w:p>
        </w:tc>
      </w:tr>
      <w:tr w:rsidR="005A1386" w:rsidRPr="00433363" w:rsidTr="00D875CD">
        <w:tc>
          <w:tcPr>
            <w:tcW w:w="3300" w:type="dxa"/>
          </w:tcPr>
          <w:p w:rsidR="005A1386" w:rsidRPr="00433363" w:rsidRDefault="005A1386" w:rsidP="003337C2">
            <w:pPr>
              <w:pStyle w:val="NoSpacing"/>
              <w:rPr>
                <w:rFonts w:ascii="Arial" w:hAnsi="Arial" w:cs="Arial"/>
              </w:rPr>
            </w:pPr>
            <w:r w:rsidRPr="00433363">
              <w:rPr>
                <w:rFonts w:ascii="Arial" w:hAnsi="Arial" w:cs="Arial"/>
              </w:rPr>
              <w:t>Outcome 4: Stop and rethink.</w:t>
            </w:r>
          </w:p>
        </w:tc>
        <w:tc>
          <w:tcPr>
            <w:tcW w:w="1911" w:type="dxa"/>
          </w:tcPr>
          <w:p w:rsidR="005A1386" w:rsidRPr="00433363" w:rsidRDefault="005A1386" w:rsidP="003337C2">
            <w:pPr>
              <w:pStyle w:val="NoSpacing"/>
              <w:jc w:val="center"/>
              <w:rPr>
                <w:rFonts w:ascii="Arial" w:hAnsi="Arial" w:cs="Arial"/>
              </w:rPr>
            </w:pPr>
            <w:r w:rsidRPr="00433363">
              <w:rPr>
                <w:rFonts w:ascii="Arial" w:hAnsi="Arial" w:cs="Arial"/>
              </w:rPr>
              <w:fldChar w:fldCharType="begin">
                <w:ffData>
                  <w:name w:val="Check50"/>
                  <w:enabled/>
                  <w:calcOnExit w:val="0"/>
                  <w:checkBox>
                    <w:sizeAuto/>
                    <w:default w:val="0"/>
                  </w:checkBox>
                </w:ffData>
              </w:fldChar>
            </w:r>
            <w:r w:rsidRPr="00433363">
              <w:rPr>
                <w:rFonts w:ascii="Arial" w:hAnsi="Arial" w:cs="Arial"/>
              </w:rPr>
              <w:instrText xml:space="preserve"> FORMCHECKBOX </w:instrText>
            </w:r>
            <w:r w:rsidR="008A07B4">
              <w:rPr>
                <w:rFonts w:ascii="Arial" w:hAnsi="Arial" w:cs="Arial"/>
              </w:rPr>
            </w:r>
            <w:r w:rsidR="008A07B4">
              <w:rPr>
                <w:rFonts w:ascii="Arial" w:hAnsi="Arial" w:cs="Arial"/>
              </w:rPr>
              <w:fldChar w:fldCharType="separate"/>
            </w:r>
            <w:r w:rsidRPr="00433363">
              <w:rPr>
                <w:rFonts w:ascii="Arial" w:hAnsi="Arial" w:cs="Arial"/>
              </w:rPr>
              <w:fldChar w:fldCharType="end"/>
            </w:r>
          </w:p>
          <w:p w:rsidR="005A1386" w:rsidRPr="00433363" w:rsidRDefault="005A1386" w:rsidP="003337C2">
            <w:pPr>
              <w:pStyle w:val="NoSpacing"/>
              <w:jc w:val="center"/>
              <w:rPr>
                <w:rFonts w:ascii="Arial" w:hAnsi="Arial" w:cs="Arial"/>
                <w:i/>
              </w:rPr>
            </w:pPr>
          </w:p>
        </w:tc>
        <w:tc>
          <w:tcPr>
            <w:tcW w:w="4644" w:type="dxa"/>
          </w:tcPr>
          <w:p w:rsidR="005A1386" w:rsidRPr="00433363" w:rsidRDefault="005A1386" w:rsidP="003337C2">
            <w:pPr>
              <w:pStyle w:val="NoSpacing"/>
              <w:rPr>
                <w:rFonts w:ascii="Arial" w:hAnsi="Arial" w:cs="Arial"/>
              </w:rPr>
            </w:pPr>
          </w:p>
          <w:p w:rsidR="005A1386" w:rsidRPr="00433363" w:rsidRDefault="005A1386" w:rsidP="003337C2">
            <w:pPr>
              <w:pStyle w:val="NoSpacing"/>
              <w:rPr>
                <w:rFonts w:ascii="Arial" w:hAnsi="Arial" w:cs="Arial"/>
              </w:rPr>
            </w:pPr>
          </w:p>
        </w:tc>
      </w:tr>
    </w:tbl>
    <w:p w:rsidR="005A1386" w:rsidRPr="00433363" w:rsidRDefault="005A1386" w:rsidP="005A1386">
      <w:pPr>
        <w:pStyle w:val="NoSpacing"/>
        <w:rPr>
          <w:rFonts w:ascii="Arial" w:hAnsi="Arial" w:cs="Arial"/>
          <w:b/>
        </w:rPr>
      </w:pPr>
    </w:p>
    <w:p w:rsidR="005A1386" w:rsidRPr="00433363" w:rsidRDefault="005A1386" w:rsidP="005A1386">
      <w:pPr>
        <w:pStyle w:val="NoSpacing"/>
        <w:rPr>
          <w:rFonts w:ascii="Arial" w:eastAsia="Times New Roman" w:hAnsi="Arial" w:cs="Arial"/>
          <w:b/>
          <w:lang w:eastAsia="en-GB"/>
        </w:rPr>
      </w:pPr>
    </w:p>
    <w:p w:rsidR="006D3B16" w:rsidRPr="00433363" w:rsidRDefault="006D3B16" w:rsidP="005A1386">
      <w:pPr>
        <w:pStyle w:val="NoSpacing"/>
        <w:rPr>
          <w:rFonts w:ascii="Arial" w:eastAsia="Times New Roman" w:hAnsi="Arial" w:cs="Arial"/>
          <w:b/>
          <w:lang w:eastAsia="en-GB"/>
        </w:rPr>
      </w:pPr>
    </w:p>
    <w:p w:rsidR="005A1386" w:rsidRPr="00D875CD" w:rsidRDefault="005A1386" w:rsidP="005A1386">
      <w:pPr>
        <w:pStyle w:val="NoSpacing"/>
        <w:rPr>
          <w:rFonts w:ascii="Arial" w:eastAsia="Times New Roman" w:hAnsi="Arial" w:cs="Arial"/>
          <w:b/>
          <w:sz w:val="28"/>
          <w:szCs w:val="28"/>
          <w:lang w:eastAsia="en-GB"/>
        </w:rPr>
      </w:pPr>
      <w:r w:rsidRPr="00D875CD">
        <w:rPr>
          <w:rFonts w:ascii="Arial" w:eastAsia="Times New Roman" w:hAnsi="Arial" w:cs="Arial"/>
          <w:b/>
          <w:sz w:val="28"/>
          <w:szCs w:val="28"/>
          <w:lang w:eastAsia="en-GB"/>
        </w:rPr>
        <w:t xml:space="preserve">SECTION 5 - ACTIONS TO BE TAKEN AS A RESULT OF THIS </w:t>
      </w:r>
      <w:proofErr w:type="spellStart"/>
      <w:r w:rsidRPr="00D875CD">
        <w:rPr>
          <w:rFonts w:ascii="Arial" w:eastAsia="Times New Roman" w:hAnsi="Arial" w:cs="Arial"/>
          <w:b/>
          <w:sz w:val="28"/>
          <w:szCs w:val="28"/>
          <w:lang w:eastAsia="en-GB"/>
        </w:rPr>
        <w:t>EqIAA</w:t>
      </w:r>
      <w:proofErr w:type="spellEnd"/>
    </w:p>
    <w:p w:rsidR="006D3B16" w:rsidRPr="00433363" w:rsidRDefault="006D3B16" w:rsidP="00F512EC">
      <w:pPr>
        <w:rPr>
          <w:rFonts w:cs="Arial"/>
          <w:sz w:val="22"/>
          <w:szCs w:val="22"/>
        </w:rPr>
      </w:pPr>
    </w:p>
    <w:p w:rsidR="00F512EC" w:rsidRPr="006F4EF7" w:rsidRDefault="00335342" w:rsidP="00F512EC">
      <w:pPr>
        <w:rPr>
          <w:rFonts w:cs="Arial"/>
          <w:color w:val="FF0000"/>
          <w:sz w:val="22"/>
          <w:szCs w:val="22"/>
        </w:rPr>
      </w:pPr>
      <w:r>
        <w:rPr>
          <w:rFonts w:cs="Arial"/>
          <w:sz w:val="22"/>
          <w:szCs w:val="22"/>
        </w:rPr>
        <w:t>A wide range of a</w:t>
      </w:r>
      <w:r w:rsidR="00F512EC" w:rsidRPr="00433363">
        <w:rPr>
          <w:rFonts w:cs="Arial"/>
          <w:sz w:val="22"/>
          <w:szCs w:val="22"/>
        </w:rPr>
        <w:t>ctions</w:t>
      </w:r>
      <w:r w:rsidR="006D3B16" w:rsidRPr="00433363">
        <w:rPr>
          <w:rFonts w:cs="Arial"/>
          <w:sz w:val="22"/>
          <w:szCs w:val="22"/>
        </w:rPr>
        <w:t xml:space="preserve"> have been</w:t>
      </w:r>
      <w:r w:rsidR="00F512EC" w:rsidRPr="00433363">
        <w:rPr>
          <w:rFonts w:cs="Arial"/>
          <w:sz w:val="22"/>
          <w:szCs w:val="22"/>
        </w:rPr>
        <w:t xml:space="preserve"> identified </w:t>
      </w:r>
      <w:r w:rsidR="006D3B16" w:rsidRPr="00433363">
        <w:rPr>
          <w:rFonts w:cs="Arial"/>
          <w:sz w:val="22"/>
          <w:szCs w:val="22"/>
        </w:rPr>
        <w:t xml:space="preserve">as </w:t>
      </w:r>
      <w:r w:rsidR="00F512EC" w:rsidRPr="00433363">
        <w:rPr>
          <w:rFonts w:cs="Arial"/>
          <w:sz w:val="22"/>
          <w:szCs w:val="22"/>
        </w:rPr>
        <w:t xml:space="preserve">shown in Section 3 of this </w:t>
      </w:r>
      <w:proofErr w:type="spellStart"/>
      <w:r w:rsidR="00F512EC" w:rsidRPr="00433363">
        <w:rPr>
          <w:rFonts w:cs="Arial"/>
          <w:sz w:val="22"/>
          <w:szCs w:val="22"/>
        </w:rPr>
        <w:t>EqIAA</w:t>
      </w:r>
      <w:proofErr w:type="spellEnd"/>
      <w:r w:rsidR="006D3B16" w:rsidRPr="00433363">
        <w:rPr>
          <w:rFonts w:cs="Arial"/>
          <w:sz w:val="22"/>
          <w:szCs w:val="22"/>
        </w:rPr>
        <w:t xml:space="preserve"> document</w:t>
      </w:r>
      <w:r w:rsidR="00E1347A" w:rsidRPr="00433363">
        <w:rPr>
          <w:rFonts w:cs="Arial"/>
          <w:sz w:val="22"/>
          <w:szCs w:val="22"/>
        </w:rPr>
        <w:t>.</w:t>
      </w:r>
      <w:r w:rsidR="006F4EF7">
        <w:rPr>
          <w:rFonts w:cs="Arial"/>
          <w:sz w:val="22"/>
          <w:szCs w:val="22"/>
        </w:rPr>
        <w:t xml:space="preserve">  </w:t>
      </w:r>
    </w:p>
    <w:p w:rsidR="005A1386" w:rsidRPr="00433363" w:rsidRDefault="005A1386" w:rsidP="005A1386">
      <w:pPr>
        <w:rPr>
          <w:rFonts w:cs="Arial"/>
          <w:b/>
          <w:sz w:val="22"/>
          <w:szCs w:val="22"/>
        </w:rPr>
      </w:pPr>
    </w:p>
    <w:p w:rsidR="006D3B16" w:rsidRPr="00433363" w:rsidRDefault="006D3B16" w:rsidP="005A1386">
      <w:pPr>
        <w:rPr>
          <w:rFonts w:cs="Arial"/>
          <w:b/>
          <w:sz w:val="22"/>
          <w:szCs w:val="22"/>
        </w:rPr>
      </w:pPr>
    </w:p>
    <w:p w:rsidR="006D3B16" w:rsidRPr="00433363" w:rsidRDefault="006D3B16" w:rsidP="005A1386">
      <w:pPr>
        <w:rPr>
          <w:rFonts w:cs="Arial"/>
          <w:b/>
          <w:sz w:val="22"/>
          <w:szCs w:val="22"/>
        </w:rPr>
      </w:pPr>
    </w:p>
    <w:p w:rsidR="005A1386" w:rsidRPr="00D875CD" w:rsidRDefault="005A1386" w:rsidP="005A1386">
      <w:pPr>
        <w:rPr>
          <w:rFonts w:cs="Arial"/>
          <w:b/>
          <w:sz w:val="28"/>
          <w:szCs w:val="28"/>
        </w:rPr>
      </w:pPr>
      <w:r w:rsidRPr="00D875CD">
        <w:rPr>
          <w:rFonts w:cs="Arial"/>
          <w:b/>
          <w:sz w:val="28"/>
          <w:szCs w:val="28"/>
        </w:rPr>
        <w:t xml:space="preserve">SECTION 6 - EVIDENCE INFORMING THIS </w:t>
      </w:r>
      <w:proofErr w:type="spellStart"/>
      <w:r w:rsidRPr="00D875CD">
        <w:rPr>
          <w:rFonts w:cs="Arial"/>
          <w:b/>
          <w:sz w:val="28"/>
          <w:szCs w:val="28"/>
        </w:rPr>
        <w:t>EqIAA</w:t>
      </w:r>
      <w:proofErr w:type="spellEnd"/>
    </w:p>
    <w:p w:rsidR="006D3B16" w:rsidRPr="00433363" w:rsidRDefault="006D3B16" w:rsidP="00D875CD">
      <w:pPr>
        <w:rPr>
          <w:rFonts w:cs="Arial"/>
          <w:sz w:val="22"/>
          <w:szCs w:val="22"/>
        </w:rPr>
      </w:pPr>
    </w:p>
    <w:p w:rsidR="00F512EC" w:rsidRPr="00433363" w:rsidRDefault="00F512EC" w:rsidP="00F512EC">
      <w:pPr>
        <w:pStyle w:val="ListParagraph"/>
        <w:numPr>
          <w:ilvl w:val="0"/>
          <w:numId w:val="6"/>
        </w:numPr>
        <w:rPr>
          <w:rFonts w:cs="Arial"/>
          <w:sz w:val="22"/>
          <w:szCs w:val="22"/>
        </w:rPr>
      </w:pPr>
      <w:r w:rsidRPr="00433363">
        <w:rPr>
          <w:rFonts w:cs="Arial"/>
          <w:sz w:val="22"/>
          <w:szCs w:val="22"/>
        </w:rPr>
        <w:t xml:space="preserve">July </w:t>
      </w:r>
      <w:proofErr w:type="spellStart"/>
      <w:r w:rsidRPr="00433363">
        <w:rPr>
          <w:rFonts w:cs="Arial"/>
          <w:sz w:val="22"/>
          <w:szCs w:val="22"/>
        </w:rPr>
        <w:t>2017data</w:t>
      </w:r>
      <w:proofErr w:type="spellEnd"/>
      <w:r w:rsidRPr="00433363">
        <w:rPr>
          <w:rFonts w:cs="Arial"/>
          <w:sz w:val="22"/>
          <w:szCs w:val="22"/>
        </w:rPr>
        <w:t xml:space="preserve"> report to schools Forum (May 2017 data)</w:t>
      </w:r>
    </w:p>
    <w:p w:rsidR="00F512EC" w:rsidRPr="00433363" w:rsidRDefault="00F512EC" w:rsidP="00F512EC">
      <w:pPr>
        <w:pStyle w:val="ListParagraph"/>
        <w:numPr>
          <w:ilvl w:val="0"/>
          <w:numId w:val="6"/>
        </w:numPr>
        <w:rPr>
          <w:rFonts w:cs="Arial"/>
          <w:sz w:val="22"/>
          <w:szCs w:val="22"/>
        </w:rPr>
      </w:pPr>
      <w:proofErr w:type="spellStart"/>
      <w:r w:rsidRPr="00433363">
        <w:rPr>
          <w:rFonts w:cs="Arial"/>
          <w:sz w:val="22"/>
          <w:szCs w:val="22"/>
        </w:rPr>
        <w:t>SEN2</w:t>
      </w:r>
      <w:proofErr w:type="spellEnd"/>
      <w:r w:rsidRPr="00433363">
        <w:rPr>
          <w:rFonts w:cs="Arial"/>
          <w:sz w:val="22"/>
          <w:szCs w:val="22"/>
        </w:rPr>
        <w:t xml:space="preserve"> data return 2017</w:t>
      </w:r>
    </w:p>
    <w:p w:rsidR="00F512EC" w:rsidRDefault="00F512EC" w:rsidP="00F512EC">
      <w:pPr>
        <w:pStyle w:val="ListParagraph"/>
        <w:numPr>
          <w:ilvl w:val="0"/>
          <w:numId w:val="6"/>
        </w:numPr>
        <w:rPr>
          <w:rFonts w:cs="Arial"/>
          <w:sz w:val="22"/>
          <w:szCs w:val="22"/>
        </w:rPr>
      </w:pPr>
      <w:r w:rsidRPr="00433363">
        <w:rPr>
          <w:rFonts w:cs="Arial"/>
          <w:sz w:val="22"/>
          <w:szCs w:val="22"/>
        </w:rPr>
        <w:t xml:space="preserve">All pupils with an </w:t>
      </w:r>
      <w:proofErr w:type="spellStart"/>
      <w:r w:rsidRPr="00433363">
        <w:rPr>
          <w:rFonts w:cs="Arial"/>
          <w:sz w:val="22"/>
          <w:szCs w:val="22"/>
        </w:rPr>
        <w:t>EHC</w:t>
      </w:r>
      <w:proofErr w:type="spellEnd"/>
      <w:r w:rsidRPr="00433363">
        <w:rPr>
          <w:rFonts w:cs="Arial"/>
          <w:sz w:val="22"/>
          <w:szCs w:val="22"/>
        </w:rPr>
        <w:t xml:space="preserve"> plan list 12 Dec 2017</w:t>
      </w:r>
    </w:p>
    <w:p w:rsidR="0052430B" w:rsidRPr="00FF7C3F" w:rsidRDefault="00FF7C3F" w:rsidP="00FF7C3F">
      <w:pPr>
        <w:pStyle w:val="ListParagraph"/>
        <w:numPr>
          <w:ilvl w:val="0"/>
          <w:numId w:val="6"/>
        </w:numPr>
        <w:rPr>
          <w:rFonts w:cs="Arial"/>
          <w:sz w:val="22"/>
          <w:szCs w:val="22"/>
        </w:rPr>
      </w:pPr>
      <w:r>
        <w:rPr>
          <w:rFonts w:cs="Arial"/>
          <w:sz w:val="22"/>
          <w:szCs w:val="22"/>
        </w:rPr>
        <w:t>Consultation output report March/April 2018</w:t>
      </w:r>
    </w:p>
    <w:sectPr w:rsidR="0052430B" w:rsidRPr="00FF7C3F" w:rsidSect="00302C0C">
      <w:footerReference w:type="default" r:id="rId8"/>
      <w:pgSz w:w="11906" w:h="16838" w:code="9"/>
      <w:pgMar w:top="1021" w:right="1134" w:bottom="1021"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B4" w:rsidRDefault="008A07B4" w:rsidP="006D3B16">
      <w:r>
        <w:separator/>
      </w:r>
    </w:p>
  </w:endnote>
  <w:endnote w:type="continuationSeparator" w:id="0">
    <w:p w:rsidR="008A07B4" w:rsidRDefault="008A07B4" w:rsidP="006D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87949"/>
      <w:docPartObj>
        <w:docPartGallery w:val="Page Numbers (Bottom of Page)"/>
        <w:docPartUnique/>
      </w:docPartObj>
    </w:sdtPr>
    <w:sdtEndPr>
      <w:rPr>
        <w:noProof/>
      </w:rPr>
    </w:sdtEndPr>
    <w:sdtContent>
      <w:p w:rsidR="00DC7394" w:rsidRDefault="00DC7394">
        <w:pPr>
          <w:pStyle w:val="Footer"/>
          <w:jc w:val="right"/>
        </w:pPr>
        <w:proofErr w:type="spellStart"/>
        <w:r>
          <w:t>E</w:t>
        </w:r>
        <w:r w:rsidR="00CD6837">
          <w:t>QIAA</w:t>
        </w:r>
        <w:proofErr w:type="spellEnd"/>
        <w:r w:rsidR="00CD6837">
          <w:t xml:space="preserve"> SEN</w:t>
        </w:r>
        <w:r w:rsidR="00FD778A">
          <w:t>D STRATEGY 2018-2023 12.4</w:t>
        </w:r>
        <w:r w:rsidR="00CD6837">
          <w:t>.18</w:t>
        </w:r>
        <w:r>
          <w:t xml:space="preserve">     </w:t>
        </w:r>
        <w:r>
          <w:fldChar w:fldCharType="begin"/>
        </w:r>
        <w:r>
          <w:instrText xml:space="preserve"> PAGE   \* MERGEFORMAT </w:instrText>
        </w:r>
        <w:r>
          <w:fldChar w:fldCharType="separate"/>
        </w:r>
        <w:r w:rsidR="00DB4CCC">
          <w:rPr>
            <w:noProof/>
          </w:rPr>
          <w:t>2</w:t>
        </w:r>
        <w:r>
          <w:rPr>
            <w:noProof/>
          </w:rPr>
          <w:fldChar w:fldCharType="end"/>
        </w:r>
      </w:p>
    </w:sdtContent>
  </w:sdt>
  <w:p w:rsidR="00DC7394" w:rsidRDefault="00DC7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B4" w:rsidRDefault="008A07B4" w:rsidP="006D3B16">
      <w:r>
        <w:separator/>
      </w:r>
    </w:p>
  </w:footnote>
  <w:footnote w:type="continuationSeparator" w:id="0">
    <w:p w:rsidR="008A07B4" w:rsidRDefault="008A07B4" w:rsidP="006D3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386"/>
    <w:multiLevelType w:val="hybridMultilevel"/>
    <w:tmpl w:val="D3AC0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E0423A"/>
    <w:multiLevelType w:val="hybridMultilevel"/>
    <w:tmpl w:val="F650E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C02D98"/>
    <w:multiLevelType w:val="hybridMultilevel"/>
    <w:tmpl w:val="C6E6F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11076FE"/>
    <w:multiLevelType w:val="hybridMultilevel"/>
    <w:tmpl w:val="636E0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434140A"/>
    <w:multiLevelType w:val="hybridMultilevel"/>
    <w:tmpl w:val="D248A4FA"/>
    <w:lvl w:ilvl="0" w:tplc="613001A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4B7123"/>
    <w:multiLevelType w:val="hybridMultilevel"/>
    <w:tmpl w:val="EEF01D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89E1637"/>
    <w:multiLevelType w:val="hybridMultilevel"/>
    <w:tmpl w:val="D432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FA53016"/>
    <w:multiLevelType w:val="hybridMultilevel"/>
    <w:tmpl w:val="E2B0FD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86"/>
    <w:rsid w:val="00047961"/>
    <w:rsid w:val="000516B1"/>
    <w:rsid w:val="0005390D"/>
    <w:rsid w:val="000C4FB9"/>
    <w:rsid w:val="00102F85"/>
    <w:rsid w:val="00116D73"/>
    <w:rsid w:val="00131491"/>
    <w:rsid w:val="00150763"/>
    <w:rsid w:val="002513F6"/>
    <w:rsid w:val="0028040C"/>
    <w:rsid w:val="00281CB0"/>
    <w:rsid w:val="00282F2D"/>
    <w:rsid w:val="002C334F"/>
    <w:rsid w:val="002C6CE4"/>
    <w:rsid w:val="002E4AB5"/>
    <w:rsid w:val="00302C0C"/>
    <w:rsid w:val="00322F46"/>
    <w:rsid w:val="00325683"/>
    <w:rsid w:val="003337C2"/>
    <w:rsid w:val="00335342"/>
    <w:rsid w:val="00363525"/>
    <w:rsid w:val="003B0204"/>
    <w:rsid w:val="00433363"/>
    <w:rsid w:val="0043605E"/>
    <w:rsid w:val="00446FD1"/>
    <w:rsid w:val="004740EA"/>
    <w:rsid w:val="004927BF"/>
    <w:rsid w:val="004A73DA"/>
    <w:rsid w:val="004B7EC6"/>
    <w:rsid w:val="004D5640"/>
    <w:rsid w:val="004D6001"/>
    <w:rsid w:val="0052430B"/>
    <w:rsid w:val="005A1386"/>
    <w:rsid w:val="00632B0E"/>
    <w:rsid w:val="00643AEF"/>
    <w:rsid w:val="00671457"/>
    <w:rsid w:val="0068157B"/>
    <w:rsid w:val="00686A8F"/>
    <w:rsid w:val="006B2435"/>
    <w:rsid w:val="006C796C"/>
    <w:rsid w:val="006D3B16"/>
    <w:rsid w:val="006F4EF7"/>
    <w:rsid w:val="00706E74"/>
    <w:rsid w:val="00711A94"/>
    <w:rsid w:val="00727483"/>
    <w:rsid w:val="007A4E0D"/>
    <w:rsid w:val="007E597D"/>
    <w:rsid w:val="007F1357"/>
    <w:rsid w:val="008101BD"/>
    <w:rsid w:val="0086074B"/>
    <w:rsid w:val="00875ECE"/>
    <w:rsid w:val="00893848"/>
    <w:rsid w:val="008A07B4"/>
    <w:rsid w:val="008A18A5"/>
    <w:rsid w:val="008D1097"/>
    <w:rsid w:val="009034D4"/>
    <w:rsid w:val="0093744C"/>
    <w:rsid w:val="00985876"/>
    <w:rsid w:val="00987AA5"/>
    <w:rsid w:val="009A3C67"/>
    <w:rsid w:val="00A6058E"/>
    <w:rsid w:val="00A92FD4"/>
    <w:rsid w:val="00AA47F6"/>
    <w:rsid w:val="00AD37BF"/>
    <w:rsid w:val="00B415F7"/>
    <w:rsid w:val="00B52DB5"/>
    <w:rsid w:val="00B704E6"/>
    <w:rsid w:val="00BC3252"/>
    <w:rsid w:val="00BC50EA"/>
    <w:rsid w:val="00BC6BC7"/>
    <w:rsid w:val="00BE722F"/>
    <w:rsid w:val="00C132E2"/>
    <w:rsid w:val="00C62E70"/>
    <w:rsid w:val="00C74D07"/>
    <w:rsid w:val="00CA5AFD"/>
    <w:rsid w:val="00CA690B"/>
    <w:rsid w:val="00CD6837"/>
    <w:rsid w:val="00CF4AC7"/>
    <w:rsid w:val="00D02AFF"/>
    <w:rsid w:val="00D23DFA"/>
    <w:rsid w:val="00D30D66"/>
    <w:rsid w:val="00D5723B"/>
    <w:rsid w:val="00D875CD"/>
    <w:rsid w:val="00D95A0F"/>
    <w:rsid w:val="00DB4CCC"/>
    <w:rsid w:val="00DC3DCF"/>
    <w:rsid w:val="00DC7394"/>
    <w:rsid w:val="00DF1E40"/>
    <w:rsid w:val="00DF455C"/>
    <w:rsid w:val="00E1347A"/>
    <w:rsid w:val="00E173D1"/>
    <w:rsid w:val="00E41BCC"/>
    <w:rsid w:val="00E660FC"/>
    <w:rsid w:val="00EA0A3A"/>
    <w:rsid w:val="00F0600D"/>
    <w:rsid w:val="00F443ED"/>
    <w:rsid w:val="00F512EC"/>
    <w:rsid w:val="00F93000"/>
    <w:rsid w:val="00FD6EAE"/>
    <w:rsid w:val="00FD778A"/>
    <w:rsid w:val="00FE74A6"/>
    <w:rsid w:val="00FF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uiPriority w:val="34"/>
    <w:qFormat/>
    <w:rsid w:val="00131491"/>
    <w:pPr>
      <w:ind w:left="720"/>
      <w:contextualSpacing/>
    </w:pPr>
  </w:style>
  <w:style w:type="table" w:customStyle="1" w:styleId="PlainTable21">
    <w:name w:val="Plain Table 21"/>
    <w:basedOn w:val="TableNormal"/>
    <w:uiPriority w:val="42"/>
    <w:rsid w:val="00FD6EAE"/>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81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8157B"/>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1347A"/>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C0C"/>
    <w:rPr>
      <w:color w:val="0000FF" w:themeColor="hyperlink"/>
      <w:u w:val="single"/>
    </w:rPr>
  </w:style>
  <w:style w:type="paragraph" w:styleId="BalloonText">
    <w:name w:val="Balloon Text"/>
    <w:basedOn w:val="Normal"/>
    <w:link w:val="BalloonTextChar"/>
    <w:uiPriority w:val="99"/>
    <w:semiHidden/>
    <w:unhideWhenUsed/>
    <w:rsid w:val="00302C0C"/>
    <w:rPr>
      <w:rFonts w:ascii="Tahoma" w:hAnsi="Tahoma" w:cs="Tahoma"/>
      <w:sz w:val="16"/>
      <w:szCs w:val="16"/>
    </w:rPr>
  </w:style>
  <w:style w:type="character" w:customStyle="1" w:styleId="BalloonTextChar">
    <w:name w:val="Balloon Text Char"/>
    <w:basedOn w:val="DefaultParagraphFont"/>
    <w:link w:val="BalloonText"/>
    <w:uiPriority w:val="99"/>
    <w:semiHidden/>
    <w:rsid w:val="00302C0C"/>
    <w:rPr>
      <w:rFonts w:ascii="Tahoma" w:hAnsi="Tahoma" w:cs="Tahoma"/>
      <w:sz w:val="16"/>
      <w:szCs w:val="16"/>
    </w:rPr>
  </w:style>
  <w:style w:type="character" w:styleId="CommentReference">
    <w:name w:val="annotation reference"/>
    <w:basedOn w:val="DefaultParagraphFont"/>
    <w:uiPriority w:val="99"/>
    <w:semiHidden/>
    <w:unhideWhenUsed/>
    <w:rsid w:val="00302C0C"/>
    <w:rPr>
      <w:sz w:val="16"/>
      <w:szCs w:val="16"/>
    </w:rPr>
  </w:style>
  <w:style w:type="paragraph" w:styleId="CommentText">
    <w:name w:val="annotation text"/>
    <w:basedOn w:val="Normal"/>
    <w:link w:val="CommentTextChar"/>
    <w:uiPriority w:val="99"/>
    <w:semiHidden/>
    <w:unhideWhenUsed/>
    <w:rsid w:val="00302C0C"/>
    <w:rPr>
      <w:sz w:val="20"/>
    </w:rPr>
  </w:style>
  <w:style w:type="character" w:customStyle="1" w:styleId="CommentTextChar">
    <w:name w:val="Comment Text Char"/>
    <w:basedOn w:val="DefaultParagraphFont"/>
    <w:link w:val="CommentText"/>
    <w:uiPriority w:val="99"/>
    <w:semiHidden/>
    <w:rsid w:val="00302C0C"/>
    <w:rPr>
      <w:sz w:val="20"/>
    </w:rPr>
  </w:style>
  <w:style w:type="paragraph" w:styleId="CommentSubject">
    <w:name w:val="annotation subject"/>
    <w:basedOn w:val="CommentText"/>
    <w:next w:val="CommentText"/>
    <w:link w:val="CommentSubjectChar"/>
    <w:uiPriority w:val="99"/>
    <w:semiHidden/>
    <w:unhideWhenUsed/>
    <w:rsid w:val="00302C0C"/>
    <w:rPr>
      <w:b/>
      <w:bCs/>
    </w:rPr>
  </w:style>
  <w:style w:type="character" w:customStyle="1" w:styleId="CommentSubjectChar">
    <w:name w:val="Comment Subject Char"/>
    <w:basedOn w:val="CommentTextChar"/>
    <w:link w:val="CommentSubject"/>
    <w:uiPriority w:val="99"/>
    <w:semiHidden/>
    <w:rsid w:val="00302C0C"/>
    <w:rPr>
      <w:b/>
      <w:bCs/>
      <w:sz w:val="20"/>
    </w:rPr>
  </w:style>
  <w:style w:type="paragraph" w:styleId="Header">
    <w:name w:val="header"/>
    <w:basedOn w:val="Normal"/>
    <w:link w:val="HeaderChar"/>
    <w:uiPriority w:val="99"/>
    <w:unhideWhenUsed/>
    <w:rsid w:val="006D3B16"/>
    <w:pPr>
      <w:tabs>
        <w:tab w:val="center" w:pos="4513"/>
        <w:tab w:val="right" w:pos="9026"/>
      </w:tabs>
    </w:pPr>
  </w:style>
  <w:style w:type="character" w:customStyle="1" w:styleId="HeaderChar">
    <w:name w:val="Header Char"/>
    <w:basedOn w:val="DefaultParagraphFont"/>
    <w:link w:val="Header"/>
    <w:uiPriority w:val="99"/>
    <w:rsid w:val="006D3B16"/>
  </w:style>
  <w:style w:type="paragraph" w:styleId="Footer">
    <w:name w:val="footer"/>
    <w:basedOn w:val="Normal"/>
    <w:link w:val="FooterChar"/>
    <w:uiPriority w:val="99"/>
    <w:unhideWhenUsed/>
    <w:rsid w:val="006D3B16"/>
    <w:pPr>
      <w:tabs>
        <w:tab w:val="center" w:pos="4513"/>
        <w:tab w:val="right" w:pos="9026"/>
      </w:tabs>
    </w:pPr>
  </w:style>
  <w:style w:type="character" w:customStyle="1" w:styleId="FooterChar">
    <w:name w:val="Footer Char"/>
    <w:basedOn w:val="DefaultParagraphFont"/>
    <w:link w:val="Footer"/>
    <w:uiPriority w:val="99"/>
    <w:rsid w:val="006D3B16"/>
  </w:style>
  <w:style w:type="paragraph" w:styleId="Revision">
    <w:name w:val="Revision"/>
    <w:hidden/>
    <w:uiPriority w:val="99"/>
    <w:semiHidden/>
    <w:rsid w:val="00D8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386"/>
    <w:rPr>
      <w:rFonts w:ascii="Calibri" w:eastAsia="Calibri" w:hAnsi="Calibri"/>
      <w:sz w:val="22"/>
      <w:szCs w:val="22"/>
    </w:rPr>
  </w:style>
  <w:style w:type="paragraph" w:styleId="ListParagraph">
    <w:name w:val="List Paragraph"/>
    <w:basedOn w:val="Normal"/>
    <w:uiPriority w:val="34"/>
    <w:qFormat/>
    <w:rsid w:val="00131491"/>
    <w:pPr>
      <w:ind w:left="720"/>
      <w:contextualSpacing/>
    </w:pPr>
  </w:style>
  <w:style w:type="table" w:customStyle="1" w:styleId="PlainTable21">
    <w:name w:val="Plain Table 21"/>
    <w:basedOn w:val="TableNormal"/>
    <w:uiPriority w:val="42"/>
    <w:rsid w:val="00FD6EAE"/>
    <w:rPr>
      <w:rFonts w:ascii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681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8157B"/>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E1347A"/>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C0C"/>
    <w:rPr>
      <w:color w:val="0000FF" w:themeColor="hyperlink"/>
      <w:u w:val="single"/>
    </w:rPr>
  </w:style>
  <w:style w:type="paragraph" w:styleId="BalloonText">
    <w:name w:val="Balloon Text"/>
    <w:basedOn w:val="Normal"/>
    <w:link w:val="BalloonTextChar"/>
    <w:uiPriority w:val="99"/>
    <w:semiHidden/>
    <w:unhideWhenUsed/>
    <w:rsid w:val="00302C0C"/>
    <w:rPr>
      <w:rFonts w:ascii="Tahoma" w:hAnsi="Tahoma" w:cs="Tahoma"/>
      <w:sz w:val="16"/>
      <w:szCs w:val="16"/>
    </w:rPr>
  </w:style>
  <w:style w:type="character" w:customStyle="1" w:styleId="BalloonTextChar">
    <w:name w:val="Balloon Text Char"/>
    <w:basedOn w:val="DefaultParagraphFont"/>
    <w:link w:val="BalloonText"/>
    <w:uiPriority w:val="99"/>
    <w:semiHidden/>
    <w:rsid w:val="00302C0C"/>
    <w:rPr>
      <w:rFonts w:ascii="Tahoma" w:hAnsi="Tahoma" w:cs="Tahoma"/>
      <w:sz w:val="16"/>
      <w:szCs w:val="16"/>
    </w:rPr>
  </w:style>
  <w:style w:type="character" w:styleId="CommentReference">
    <w:name w:val="annotation reference"/>
    <w:basedOn w:val="DefaultParagraphFont"/>
    <w:uiPriority w:val="99"/>
    <w:semiHidden/>
    <w:unhideWhenUsed/>
    <w:rsid w:val="00302C0C"/>
    <w:rPr>
      <w:sz w:val="16"/>
      <w:szCs w:val="16"/>
    </w:rPr>
  </w:style>
  <w:style w:type="paragraph" w:styleId="CommentText">
    <w:name w:val="annotation text"/>
    <w:basedOn w:val="Normal"/>
    <w:link w:val="CommentTextChar"/>
    <w:uiPriority w:val="99"/>
    <w:semiHidden/>
    <w:unhideWhenUsed/>
    <w:rsid w:val="00302C0C"/>
    <w:rPr>
      <w:sz w:val="20"/>
    </w:rPr>
  </w:style>
  <w:style w:type="character" w:customStyle="1" w:styleId="CommentTextChar">
    <w:name w:val="Comment Text Char"/>
    <w:basedOn w:val="DefaultParagraphFont"/>
    <w:link w:val="CommentText"/>
    <w:uiPriority w:val="99"/>
    <w:semiHidden/>
    <w:rsid w:val="00302C0C"/>
    <w:rPr>
      <w:sz w:val="20"/>
    </w:rPr>
  </w:style>
  <w:style w:type="paragraph" w:styleId="CommentSubject">
    <w:name w:val="annotation subject"/>
    <w:basedOn w:val="CommentText"/>
    <w:next w:val="CommentText"/>
    <w:link w:val="CommentSubjectChar"/>
    <w:uiPriority w:val="99"/>
    <w:semiHidden/>
    <w:unhideWhenUsed/>
    <w:rsid w:val="00302C0C"/>
    <w:rPr>
      <w:b/>
      <w:bCs/>
    </w:rPr>
  </w:style>
  <w:style w:type="character" w:customStyle="1" w:styleId="CommentSubjectChar">
    <w:name w:val="Comment Subject Char"/>
    <w:basedOn w:val="CommentTextChar"/>
    <w:link w:val="CommentSubject"/>
    <w:uiPriority w:val="99"/>
    <w:semiHidden/>
    <w:rsid w:val="00302C0C"/>
    <w:rPr>
      <w:b/>
      <w:bCs/>
      <w:sz w:val="20"/>
    </w:rPr>
  </w:style>
  <w:style w:type="paragraph" w:styleId="Header">
    <w:name w:val="header"/>
    <w:basedOn w:val="Normal"/>
    <w:link w:val="HeaderChar"/>
    <w:uiPriority w:val="99"/>
    <w:unhideWhenUsed/>
    <w:rsid w:val="006D3B16"/>
    <w:pPr>
      <w:tabs>
        <w:tab w:val="center" w:pos="4513"/>
        <w:tab w:val="right" w:pos="9026"/>
      </w:tabs>
    </w:pPr>
  </w:style>
  <w:style w:type="character" w:customStyle="1" w:styleId="HeaderChar">
    <w:name w:val="Header Char"/>
    <w:basedOn w:val="DefaultParagraphFont"/>
    <w:link w:val="Header"/>
    <w:uiPriority w:val="99"/>
    <w:rsid w:val="006D3B16"/>
  </w:style>
  <w:style w:type="paragraph" w:styleId="Footer">
    <w:name w:val="footer"/>
    <w:basedOn w:val="Normal"/>
    <w:link w:val="FooterChar"/>
    <w:uiPriority w:val="99"/>
    <w:unhideWhenUsed/>
    <w:rsid w:val="006D3B16"/>
    <w:pPr>
      <w:tabs>
        <w:tab w:val="center" w:pos="4513"/>
        <w:tab w:val="right" w:pos="9026"/>
      </w:tabs>
    </w:pPr>
  </w:style>
  <w:style w:type="character" w:customStyle="1" w:styleId="FooterChar">
    <w:name w:val="Footer Char"/>
    <w:basedOn w:val="DefaultParagraphFont"/>
    <w:link w:val="Footer"/>
    <w:uiPriority w:val="99"/>
    <w:rsid w:val="006D3B16"/>
  </w:style>
  <w:style w:type="paragraph" w:styleId="Revision">
    <w:name w:val="Revision"/>
    <w:hidden/>
    <w:uiPriority w:val="99"/>
    <w:semiHidden/>
    <w:rsid w:val="00D8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4312">
      <w:bodyDiv w:val="1"/>
      <w:marLeft w:val="0"/>
      <w:marRight w:val="0"/>
      <w:marTop w:val="0"/>
      <w:marBottom w:val="0"/>
      <w:divBdr>
        <w:top w:val="none" w:sz="0" w:space="0" w:color="auto"/>
        <w:left w:val="none" w:sz="0" w:space="0" w:color="auto"/>
        <w:bottom w:val="none" w:sz="0" w:space="0" w:color="auto"/>
        <w:right w:val="none" w:sz="0" w:space="0" w:color="auto"/>
      </w:divBdr>
    </w:div>
    <w:div w:id="15075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Wood</dc:creator>
  <cp:lastModifiedBy>Daniel Wood</cp:lastModifiedBy>
  <cp:revision>2</cp:revision>
  <dcterms:created xsi:type="dcterms:W3CDTF">2019-01-28T16:58:00Z</dcterms:created>
  <dcterms:modified xsi:type="dcterms:W3CDTF">2019-01-28T16:58:00Z</dcterms:modified>
</cp:coreProperties>
</file>